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Study Protocol for Diabetes Research</w:t>
      </w:r>
    </w:p>
    <w:p>
      <w:pPr>
        <w:pStyle w:val="Heading2"/>
      </w:pPr>
      <w:r>
        <w:t>1. Background and Rationale</w:t>
      </w:r>
    </w:p>
    <w:p>
      <w:r>
        <w:t>Type 2 diabetes mellitus (T2DM) is a chronic condition characterized by insulin resistance and hyperglycemia, contributing to significant morbidity and mortality worldwide. The interplay of genetic predisposition and lifestyle factors, such as diet, physical activity, and body weight, is crucial in the progression of T2DM. Understanding these relationships is vital for developing targeted interventions to prevent or manage diabetes.</w:t>
      </w:r>
    </w:p>
    <w:p>
      <w:pPr>
        <w:pStyle w:val="Heading2"/>
      </w:pPr>
      <w:r>
        <w:t>2. Aims and Objectives</w:t>
      </w:r>
    </w:p>
    <w:p>
      <w:r>
        <w:t>- Primary Aim: To investigate the relationship between genetic markers and the progression of Type 2 diabetes in diverse populations.</w:t>
      </w:r>
    </w:p>
    <w:p>
      <w:r>
        <w:t>- Secondary Aims:</w:t>
        <w:br/>
        <w:t xml:space="preserve">  - To assess the impact of lifestyle factors (BMI, diet, physical activity) on T2DM progression.</w:t>
        <w:br/>
        <w:t xml:space="preserve">  - To identify high-risk groups based on genetic and lifestyle factors for targeted preventive strategies.</w:t>
      </w:r>
    </w:p>
    <w:p>
      <w:pPr>
        <w:pStyle w:val="Heading2"/>
      </w:pPr>
      <w:r>
        <w:t>3. Study Design</w:t>
      </w:r>
    </w:p>
    <w:p>
      <w:r>
        <w:t>A multi-center, longitudinal cohort study involving 10,000 participants aged 18-80, recruited from diverse ethnic backgrounds. Participants will be followed up annually for 5 years to collect data on health outcomes, lifestyle factors, and genetic markers.</w:t>
      </w:r>
    </w:p>
    <w:p>
      <w:pPr>
        <w:pStyle w:val="Heading2"/>
      </w:pPr>
      <w:r>
        <w:t>4. Methodology</w:t>
      </w:r>
    </w:p>
    <w:p>
      <w:r>
        <w:t>- Recruitment: Participants will be recruited through healthcare centers, community outreach, and social media campaigns, ensuring diversity in ethnicity, age, and socioeconomic status.</w:t>
      </w:r>
    </w:p>
    <w:p>
      <w:r>
        <w:t>- Data Collection: At baseline and annual follow-ups, collect data on demographic characteristics, medical history, lifestyle factors (diet, physical activity), body measurements (height, weight, BMI), blood samples for genetic analysis, and blood sugar levels.</w:t>
      </w:r>
    </w:p>
    <w:p>
      <w:r>
        <w:t>- Data Imputation: Handle missing data using advanced imputation techniques to minimize bias and enhance data completeness.</w:t>
      </w:r>
    </w:p>
    <w:p>
      <w:r>
        <w:t>- Analysis: Utilize statistical models to explore the association between genetic markers, lifestyle factors, and T2DM progression. Adjust for potential confounders like age, gender, and ethnicity.</w:t>
      </w:r>
    </w:p>
    <w:p>
      <w:pPr>
        <w:pStyle w:val="Heading2"/>
      </w:pPr>
      <w:r>
        <w:t>5. Ethics and Governance</w:t>
      </w:r>
    </w:p>
    <w:p>
      <w:r>
        <w:t>- Ethical Approval: This study will be conducted in accordance with the Declaration of Helsinki and approved by the Institutional Review Board (IRB) of each participating center.</w:t>
      </w:r>
    </w:p>
    <w:p>
      <w:r>
        <w:t>- Informed Consent: All participants will provide written informed consent after receiving detailed information about the study's purpose, procedures, potential risks, and benefits.</w:t>
      </w:r>
    </w:p>
    <w:p>
      <w:r>
        <w:t>- Data Privacy: Personal information will be anonymized and securely stored. Access to data will be restricted to authorized personnel only.</w:t>
      </w:r>
    </w:p>
    <w:p>
      <w:r>
        <w:t>- Adverse Events: An independent data monitoring committee will oversee the study to ensure participant safety and integrity of data.</w:t>
      </w:r>
    </w:p>
    <w:p>
      <w:pPr>
        <w:pStyle w:val="Heading2"/>
      </w:pPr>
      <w:r>
        <w:t>6. Dissemination of Results</w:t>
      </w:r>
    </w:p>
    <w:p>
      <w:r>
        <w:t>Findings will be published in peer-reviewed journals and presented at international conferences. Summaries will be made available to participants and the general public through newsletters and community forums.</w:t>
      </w:r>
    </w:p>
    <w:p>
      <w:pPr>
        <w:pStyle w:val="Heading2"/>
      </w:pPr>
      <w:r>
        <w:t>7. Timeline</w:t>
      </w:r>
    </w:p>
    <w:p>
      <w:r>
        <w:t>- Year 1: Study setup, IRB approvals, recruitment start.</w:t>
        <w:br/>
        <w:t>- Years 2-5: Data collection and annual follow-up.</w:t>
        <w:br/>
        <w:t>- Year 6: Data analysis and manuscript preparation.</w:t>
      </w:r>
    </w:p>
    <w:p>
      <w:pPr>
        <w:pStyle w:val="Heading2"/>
      </w:pPr>
      <w:r>
        <w:t>8. Budget and Funding</w:t>
      </w:r>
    </w:p>
    <w:p>
      <w:r>
        <w:t>A detailed budget covering personnel, equipment, laboratory analysis, and dissemination activities will be developed. Funding will be sought from governmental, non-profit, and philanthropic organizations dedicated to diabetes research and prevention.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