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81D3E" w14:textId="7DC5E65B" w:rsidR="008477CA" w:rsidRDefault="00047617" w:rsidP="00783ADC">
      <w:pPr>
        <w:spacing w:after="0" w:line="240" w:lineRule="auto"/>
        <w:rPr>
          <w:rFonts w:ascii="Calibri" w:hAnsi="Calibri" w:cs="Calibri"/>
          <w:b/>
        </w:rPr>
      </w:pPr>
      <w:r>
        <w:rPr>
          <w:rFonts w:ascii="Calibri" w:hAnsi="Calibri" w:cs="Calibri"/>
          <w:b/>
        </w:rPr>
        <w:t xml:space="preserve">"Finding the spark before the fire?": is recency-guided partner notification worth its burden in Zambia?</w:t>
      </w:r>
    </w:p>
    <w:p w14:paraId="10330299" w14:textId="77777777" w:rsidR="00047617" w:rsidRDefault="00047617" w:rsidP="00783ADC">
      <w:pPr>
        <w:spacing w:after="0" w:line="240" w:lineRule="auto"/>
        <w:rPr>
          <w:rFonts w:ascii="Calibri" w:eastAsia="Times New Roman" w:hAnsi="Calibri" w:cs="Calibri"/>
        </w:rPr>
      </w:pPr>
    </w:p>
    <w:p w14:paraId="7447BE49" w14:textId="503E31A1" w:rsidR="00F31920" w:rsidRDefault="00F31920" w:rsidP="00783ADC">
      <w:pPr>
        <w:spacing w:after="0" w:line="240" w:lineRule="auto"/>
        <w:rPr>
          <w:rFonts w:ascii="Calibri" w:eastAsia="Times New Roman" w:hAnsi="Calibri" w:cs="Calibri"/>
          <w:vertAlign w:val="superscript"/>
        </w:rPr>
      </w:pPr>
      <w:r>
        <w:rPr>
          <w:rFonts w:ascii="Calibri" w:eastAsia="Times New Roman" w:hAnsi="Calibri" w:cs="Calibri"/>
        </w:rPr>
        <w:t>Nao Yamamoto</w:t>
      </w:r>
      <w:r w:rsidRPr="00F31920">
        <w:rPr>
          <w:rFonts w:ascii="Calibri" w:eastAsia="Times New Roman" w:hAnsi="Calibri" w:cs="Calibri"/>
          <w:vertAlign w:val="superscript"/>
        </w:rPr>
        <w:t>1</w:t>
      </w:r>
      <w:r>
        <w:rPr>
          <w:rFonts w:ascii="Calibri" w:eastAsia="Times New Roman" w:hAnsi="Calibri" w:cs="Calibri"/>
        </w:rPr>
        <w:t xml:space="preserve">, </w:t>
      </w:r>
      <w:r w:rsidR="003B6AA8" w:rsidRPr="003B6AA8">
        <w:rPr>
          <w:rFonts w:ascii="Calibri" w:eastAsia="Times New Roman" w:hAnsi="Calibri" w:cs="Calibri"/>
        </w:rPr>
        <w:t>Robyn M Stuart</w:t>
      </w:r>
      <w:r w:rsidR="003B6AA8">
        <w:rPr>
          <w:rFonts w:ascii="Calibri" w:eastAsia="Times New Roman" w:hAnsi="Calibri" w:cs="Calibri"/>
          <w:vertAlign w:val="superscript"/>
        </w:rPr>
        <w:t>2</w:t>
      </w:r>
      <w:r w:rsidR="003B6AA8">
        <w:rPr>
          <w:rFonts w:ascii="Calibri" w:eastAsia="Times New Roman" w:hAnsi="Calibri" w:cs="Calibri"/>
        </w:rPr>
        <w:t xml:space="preserve">, </w:t>
      </w:r>
      <w:proofErr w:type="spellStart"/>
      <w:r w:rsidR="009A1C72">
        <w:rPr>
          <w:rFonts w:ascii="Calibri" w:eastAsia="Times New Roman" w:hAnsi="Calibri" w:cs="Calibri"/>
        </w:rPr>
        <w:t>Sulani</w:t>
      </w:r>
      <w:proofErr w:type="spellEnd"/>
      <w:r w:rsidR="009A1C72">
        <w:rPr>
          <w:rFonts w:ascii="Calibri" w:eastAsia="Times New Roman" w:hAnsi="Calibri" w:cs="Calibri"/>
        </w:rPr>
        <w:t xml:space="preserve"> Nymbili</w:t>
      </w:r>
      <w:r w:rsidR="009A1C72" w:rsidRPr="00F31920">
        <w:rPr>
          <w:rFonts w:ascii="Calibri" w:eastAsia="Times New Roman" w:hAnsi="Calibri" w:cs="Calibri"/>
          <w:vertAlign w:val="superscript"/>
        </w:rPr>
        <w:t>1</w:t>
      </w:r>
      <w:r w:rsidR="009A1C72">
        <w:rPr>
          <w:rFonts w:ascii="Calibri" w:eastAsia="Times New Roman" w:hAnsi="Calibri" w:cs="Calibri"/>
        </w:rPr>
        <w:t>, David Kaftan</w:t>
      </w:r>
      <w:r w:rsidR="009A1C72" w:rsidRPr="00F31920">
        <w:rPr>
          <w:rFonts w:ascii="Calibri" w:eastAsia="Times New Roman" w:hAnsi="Calibri" w:cs="Calibri"/>
          <w:vertAlign w:val="superscript"/>
        </w:rPr>
        <w:t>1</w:t>
      </w:r>
      <w:r w:rsidR="009A1C72">
        <w:rPr>
          <w:rFonts w:ascii="Calibri" w:eastAsia="Times New Roman" w:hAnsi="Calibri" w:cs="Calibri"/>
        </w:rPr>
        <w:t xml:space="preserve">, </w:t>
      </w:r>
      <w:r w:rsidR="003B6AA8">
        <w:rPr>
          <w:rFonts w:ascii="Calibri" w:eastAsia="Times New Roman" w:hAnsi="Calibri" w:cs="Calibri"/>
        </w:rPr>
        <w:t>Ingrida Platais</w:t>
      </w:r>
      <w:r w:rsidR="003B6AA8" w:rsidRPr="00F31920">
        <w:rPr>
          <w:rFonts w:ascii="Calibri" w:eastAsia="Times New Roman" w:hAnsi="Calibri" w:cs="Calibri"/>
          <w:vertAlign w:val="superscript"/>
        </w:rPr>
        <w:t>1</w:t>
      </w:r>
      <w:r w:rsidR="003B6AA8">
        <w:rPr>
          <w:rFonts w:ascii="Calibri" w:eastAsia="Times New Roman" w:hAnsi="Calibri" w:cs="Calibri"/>
        </w:rPr>
        <w:t xml:space="preserve">, </w:t>
      </w:r>
      <w:r w:rsidRPr="00F31920">
        <w:rPr>
          <w:rFonts w:ascii="Calibri" w:eastAsia="Times New Roman" w:hAnsi="Calibri" w:cs="Calibri"/>
        </w:rPr>
        <w:t>Anna Bershteyn</w:t>
      </w:r>
      <w:r w:rsidRPr="00F31920">
        <w:rPr>
          <w:rFonts w:ascii="Calibri" w:eastAsia="Times New Roman" w:hAnsi="Calibri" w:cs="Calibri"/>
          <w:vertAlign w:val="superscript"/>
        </w:rPr>
        <w:t>1</w:t>
      </w:r>
    </w:p>
    <w:p w14:paraId="103DB7C5" w14:textId="77777777" w:rsidR="002C0851" w:rsidRDefault="002C0851" w:rsidP="00783ADC">
      <w:pPr>
        <w:spacing w:after="0" w:line="240" w:lineRule="auto"/>
        <w:rPr>
          <w:rFonts w:ascii="Calibri" w:eastAsia="Times New Roman" w:hAnsi="Calibri" w:cs="Calibri"/>
        </w:rPr>
      </w:pPr>
    </w:p>
    <w:p w14:paraId="39A43FBA" w14:textId="79DFBA82" w:rsidR="00F31920" w:rsidRDefault="00F31920" w:rsidP="00783ADC">
      <w:pPr>
        <w:spacing w:after="0" w:line="240" w:lineRule="auto"/>
        <w:rPr>
          <w:rFonts w:ascii="Calibri" w:eastAsia="Times New Roman" w:hAnsi="Calibri" w:cs="Calibri"/>
          <w:bCs/>
        </w:rPr>
      </w:pPr>
      <w:r w:rsidRPr="00F31920">
        <w:rPr>
          <w:rFonts w:ascii="Calibri" w:eastAsia="Times New Roman" w:hAnsi="Calibri" w:cs="Calibri"/>
          <w:bCs/>
        </w:rPr>
        <w:t>1</w:t>
      </w:r>
      <w:r>
        <w:rPr>
          <w:rFonts w:ascii="Calibri" w:eastAsia="Times New Roman" w:hAnsi="Calibri" w:cs="Calibri"/>
          <w:bCs/>
        </w:rPr>
        <w:t xml:space="preserve">. </w:t>
      </w:r>
      <w:r w:rsidRPr="00F31920">
        <w:rPr>
          <w:rFonts w:ascii="Calibri" w:eastAsia="Times New Roman" w:hAnsi="Calibri" w:cs="Calibri"/>
          <w:bCs/>
        </w:rPr>
        <w:t>Department of Population Health, New York University Grossman School of Medicine, New York, New York, USA.</w:t>
      </w:r>
    </w:p>
    <w:p w14:paraId="10CF5152" w14:textId="0C138317" w:rsidR="003B6AA8" w:rsidRDefault="003B6AA8" w:rsidP="00783ADC">
      <w:pPr>
        <w:spacing w:after="0" w:line="240" w:lineRule="auto"/>
        <w:rPr>
          <w:rFonts w:ascii="Calibri" w:eastAsia="Times New Roman" w:hAnsi="Calibri" w:cs="Calibri"/>
          <w:bCs/>
        </w:rPr>
      </w:pPr>
      <w:r>
        <w:rPr>
          <w:rFonts w:ascii="Calibri" w:eastAsia="Times New Roman" w:hAnsi="Calibri" w:cs="Calibri"/>
          <w:bCs/>
        </w:rPr>
        <w:t xml:space="preserve">2. </w:t>
      </w:r>
      <w:r w:rsidRPr="003B6AA8">
        <w:rPr>
          <w:rFonts w:ascii="Calibri" w:eastAsia="Times New Roman" w:hAnsi="Calibri" w:cs="Calibri"/>
          <w:bCs/>
        </w:rPr>
        <w:t>Institute for Disease Modeling, Global Health Division, Bill &amp; Melinda Gates Foundation, Seattle, Washington, United States of America</w:t>
      </w:r>
    </w:p>
    <w:p w14:paraId="074F76EB" w14:textId="77777777" w:rsidR="00F31920" w:rsidRDefault="00F31920" w:rsidP="00783ADC">
      <w:pPr>
        <w:spacing w:after="0" w:line="240" w:lineRule="auto"/>
        <w:rPr>
          <w:rFonts w:ascii="Calibri" w:eastAsia="Times New Roman" w:hAnsi="Calibri" w:cs="Calibri"/>
          <w:b/>
        </w:rPr>
      </w:pPr>
    </w:p>
    <w:p w14:paraId="5C4AF26C" w14:textId="009713CD" w:rsidR="00783ADC" w:rsidRDefault="006F4658" w:rsidP="00783ADC">
      <w:pPr>
        <w:spacing w:after="0" w:line="240" w:lineRule="auto"/>
        <w:rPr>
          <w:rFonts w:ascii="Calibri" w:eastAsia="Times New Roman" w:hAnsi="Calibri" w:cs="Calibri"/>
          <w:b/>
        </w:rPr>
      </w:pPr>
      <w:r>
        <w:rPr>
          <w:rFonts w:ascii="Calibri" w:eastAsia="Times New Roman" w:hAnsi="Calibri" w:cs="Calibri"/>
          <w:b/>
        </w:rPr>
        <w:t>Background</w:t>
      </w:r>
    </w:p>
    <w:p w14:paraId="5D7A3A7D" w14:textId="3AC3B423" w:rsidR="0091649F" w:rsidRDefault="00B37CBB" w:rsidP="000F3BE6">
      <w:pPr>
        <w:spacing w:after="0" w:line="240" w:lineRule="auto"/>
        <w:rPr>
          <w:rFonts w:ascii="Calibri" w:eastAsia="Times New Roman" w:hAnsi="Calibri" w:cs="Calibri"/>
          <w:bCs/>
        </w:rPr>
      </w:pPr>
      <w:r>
        <w:rPr>
          <w:rFonts w:ascii="Calibri" w:eastAsia="Times New Roman" w:hAnsi="Calibri" w:cs="Calibri"/>
          <w:bCs/>
        </w:rPr>
        <w:t xml:space="preserve">Ending the HIV epidemic requires interrupting recent transmission before it amplifies into larger outbreaks. Rapid tests for recent HIV infection (RTRI), paired with partner notification (PN), may enable targeted outbreak response, but RTRIs miss most recent infections, PN carries risks including intimate partner violence, and the value of restricting PN to RTRI-flagged cases remains uncertain. This study aimed to determine whether RTRI-guided PN improves the balance of benefit to burden compared with PN for all new diagnoses in Zambia.</w:t>
      </w:r>
    </w:p>
    <w:p w14:paraId="085EC3F8" w14:textId="77777777" w:rsidR="00B37CBB" w:rsidRPr="000F3BE6" w:rsidRDefault="00B37CBB" w:rsidP="000F3BE6">
      <w:pPr>
        <w:spacing w:after="0" w:line="240" w:lineRule="auto"/>
        <w:rPr>
          <w:rFonts w:ascii="Calibri" w:eastAsia="Times New Roman" w:hAnsi="Calibri" w:cs="Calibri"/>
          <w:bCs/>
        </w:rPr>
      </w:pPr>
    </w:p>
    <w:p w14:paraId="0CA613A4"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Methods</w:t>
      </w:r>
    </w:p>
    <w:p w14:paraId="48B187EF" w14:textId="0A3F54C6" w:rsidR="0091649F" w:rsidRDefault="00B37CBB" w:rsidP="000F3BE6">
      <w:pPr>
        <w:spacing w:after="0" w:line="240" w:lineRule="auto"/>
        <w:rPr>
          <w:rFonts w:ascii="Calibri" w:eastAsia="Times New Roman" w:hAnsi="Calibri" w:cs="Calibri"/>
          <w:bCs/>
        </w:rPr>
      </w:pPr>
      <w:proofErr w:type="spellStart"/>
      <w:proofErr w:type="spellEnd"/>
      <w:r>
        <w:rPr>
          <w:rFonts w:ascii="Calibri" w:eastAsia="Times New Roman" w:hAnsi="Calibri" w:cs="Calibri"/>
          <w:bCs/>
        </w:rPr>
        <w:t xml:space="preserve">We developed an agent-based HIV model of Zambia in STIsim with current and prior (3-month recall) sexual networks. We calibrated 13 parameters to national HIV surveillance data (1990–2023) across 500 parameter draws, validating against ZAMPHIA 2016 age- and sex-stratified prevalence. Baseline services included routine testing, antiretroviral therapy (97% coverage by 2024), and pre-exposure prophylaxis. From 2026 to 2050, we simulated single-hop PN triggered by all new diagnoses or only those classified recent by an RTRI (sensitivity 25% for infections &lt;1 year; specificity 96%), reaching current, prior, or both partner types. We compared infections averted, contacts notified per infection averted, and false-recent notifications. A companion decision analysis estimated cost per additional diagnosis ($10/RTRI; $20/enhanced PN).</w:t>
      </w:r>
    </w:p>
    <w:p w14:paraId="3BAB6637" w14:textId="77777777" w:rsidR="00B37CBB" w:rsidRPr="000F3BE6" w:rsidRDefault="00B37CBB" w:rsidP="000F3BE6">
      <w:pPr>
        <w:spacing w:after="0" w:line="240" w:lineRule="auto"/>
        <w:rPr>
          <w:rFonts w:ascii="Calibri" w:eastAsia="Times New Roman" w:hAnsi="Calibri" w:cs="Calibri"/>
          <w:bCs/>
        </w:rPr>
      </w:pPr>
    </w:p>
    <w:p w14:paraId="4500AA10"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Results</w:t>
      </w:r>
    </w:p>
    <w:p w14:paraId="62BD9C31" w14:textId="52B71E6E" w:rsidR="0091649F" w:rsidRDefault="00B37CBB" w:rsidP="000F3BE6">
      <w:pPr>
        <w:spacing w:after="0" w:line="240" w:lineRule="auto"/>
        <w:rPr>
          <w:rFonts w:eastAsiaTheme="minorEastAsia"/>
          <w:lang w:eastAsia="ja-JP"/>
        </w:rPr>
      </w:pPr>
      <w:r>
        <w:rPr>
          <w:rFonts w:eastAsiaTheme="minorEastAsia"/>
          <w:lang w:eastAsia="ja-JP"/>
        </w:rPr>
        <w:t xml:space="preserve">The calibrated model reproduced national HIV deaths, ART coverage, and recent incidence declines. Under baseline, XX (IQR XX–XX) infections occurred 2026–2050. PN for all new diagnoses averted XX% (IQR XX–XX%) at N contacts notified per infection averted; RTRI-guided PN averted XX% (IQR XX–XX%) at N contacts per infection averted. The RTRI flagged 6.1% of new diagnoses, of whom 41% were truly recent; a negative result lowered the probability of recent infection only from 10% to 8%. RTRI-guided PN cost 6.7-fold more per additional diagnosis than budget-matched untargeted PN, breaking even only below $0.45 per RTRI.</w:t>
      </w:r>
    </w:p>
    <w:p w14:paraId="5657E262" w14:textId="77777777" w:rsidR="00B37CBB" w:rsidRPr="000F3BE6" w:rsidRDefault="00B37CBB" w:rsidP="000F3BE6">
      <w:pPr>
        <w:spacing w:after="0" w:line="240" w:lineRule="auto"/>
        <w:rPr>
          <w:rFonts w:ascii="Calibri" w:eastAsia="Times New Roman" w:hAnsi="Calibri" w:cs="Calibri"/>
          <w:bCs/>
        </w:rPr>
      </w:pPr>
    </w:p>
    <w:p w14:paraId="017E8DE4" w14:textId="3EDF5858" w:rsidR="000F3BE6" w:rsidRPr="00F2453B" w:rsidRDefault="000F3BE6" w:rsidP="000F3BE6">
      <w:pPr>
        <w:spacing w:after="0" w:line="240" w:lineRule="auto"/>
        <w:rPr>
          <w:rFonts w:ascii="Calibri" w:eastAsia="Times New Roman" w:hAnsi="Calibri" w:cs="Calibri"/>
          <w:b/>
        </w:rPr>
      </w:pPr>
      <w:r w:rsidRPr="00F2453B">
        <w:rPr>
          <w:rFonts w:ascii="Calibri" w:eastAsia="Times New Roman" w:hAnsi="Calibri" w:cs="Calibri"/>
          <w:b/>
        </w:rPr>
        <w:t>Conclusion</w:t>
      </w:r>
      <w:r w:rsidR="006F4658">
        <w:rPr>
          <w:rFonts w:ascii="Calibri" w:eastAsia="Times New Roman" w:hAnsi="Calibri" w:cs="Calibri"/>
          <w:b/>
        </w:rPr>
        <w:t>s</w:t>
      </w:r>
    </w:p>
    <w:p w14:paraId="4B7481CF" w14:textId="604A4324" w:rsidR="00EA6FC8" w:rsidRDefault="00B37CBB" w:rsidP="00B37CBB">
      <w:pPr>
        <w:rPr>
          <w:rFonts w:ascii="Calibri" w:eastAsia="Times New Roman" w:hAnsi="Calibri" w:cs="Calibri"/>
          <w:bCs/>
        </w:rPr>
      </w:pPr>
      <w:r>
        <w:rPr>
          <w:rFonts w:ascii="Calibri" w:eastAsia="Times New Roman" w:hAnsi="Calibri" w:cs="Calibri"/>
          <w:bCs/>
        </w:rPr>
        <w:t xml:space="preserve">RTRI-guided PN [reduced/did not reduce] notification burden per infection averted relative to PN for all new diagnoses in Zambia. Because RTRIs flag few new diagnoses and a negative result is nearly uninformative, RTRIs may be better suited to surveillance and outbreak detection than to deciding which individuals are offered PN.</w:t>
      </w:r>
    </w:p>
    <w:sectPr w:rsidR="00EA6FC8" w:rsidSect="00F5504B">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35C54" w14:textId="77777777" w:rsidR="00D22323" w:rsidRDefault="00D22323" w:rsidP="006F4658">
      <w:pPr>
        <w:spacing w:after="0" w:line="240" w:lineRule="auto"/>
      </w:pPr>
      <w:r>
        <w:separator/>
      </w:r>
    </w:p>
  </w:endnote>
  <w:endnote w:type="continuationSeparator" w:id="0">
    <w:p w14:paraId="77997980" w14:textId="77777777" w:rsidR="00D22323" w:rsidRDefault="00D22323" w:rsidP="006F4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45C6A8" w14:textId="77777777" w:rsidR="00D22323" w:rsidRDefault="00D22323" w:rsidP="006F4658">
      <w:pPr>
        <w:spacing w:after="0" w:line="240" w:lineRule="auto"/>
      </w:pPr>
      <w:r>
        <w:separator/>
      </w:r>
    </w:p>
  </w:footnote>
  <w:footnote w:type="continuationSeparator" w:id="0">
    <w:p w14:paraId="748C1DB9" w14:textId="77777777" w:rsidR="00D22323" w:rsidRDefault="00D22323" w:rsidP="006F465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24"/>
    <w:rsid w:val="000070FF"/>
    <w:rsid w:val="00031A18"/>
    <w:rsid w:val="00032B4C"/>
    <w:rsid w:val="0004037F"/>
    <w:rsid w:val="00047617"/>
    <w:rsid w:val="000642C9"/>
    <w:rsid w:val="00093F24"/>
    <w:rsid w:val="000A4AF7"/>
    <w:rsid w:val="000F3BE6"/>
    <w:rsid w:val="00134B42"/>
    <w:rsid w:val="00145057"/>
    <w:rsid w:val="0015219D"/>
    <w:rsid w:val="001708F1"/>
    <w:rsid w:val="00190739"/>
    <w:rsid w:val="001C44A2"/>
    <w:rsid w:val="00203B0C"/>
    <w:rsid w:val="002149FC"/>
    <w:rsid w:val="0025028A"/>
    <w:rsid w:val="0026608A"/>
    <w:rsid w:val="002A7D37"/>
    <w:rsid w:val="002C0851"/>
    <w:rsid w:val="00310912"/>
    <w:rsid w:val="003A0A37"/>
    <w:rsid w:val="003A12E4"/>
    <w:rsid w:val="003B6AA8"/>
    <w:rsid w:val="003C3715"/>
    <w:rsid w:val="003F268E"/>
    <w:rsid w:val="00401552"/>
    <w:rsid w:val="004238DD"/>
    <w:rsid w:val="00495C6A"/>
    <w:rsid w:val="004A209E"/>
    <w:rsid w:val="004A6FAB"/>
    <w:rsid w:val="00566889"/>
    <w:rsid w:val="006055EA"/>
    <w:rsid w:val="006661CA"/>
    <w:rsid w:val="006B50F1"/>
    <w:rsid w:val="006D0058"/>
    <w:rsid w:val="006F4658"/>
    <w:rsid w:val="006F469E"/>
    <w:rsid w:val="006F71FE"/>
    <w:rsid w:val="00783ADC"/>
    <w:rsid w:val="00786A8C"/>
    <w:rsid w:val="007D2C52"/>
    <w:rsid w:val="008132C2"/>
    <w:rsid w:val="008477CA"/>
    <w:rsid w:val="0087513C"/>
    <w:rsid w:val="00875D9B"/>
    <w:rsid w:val="008D4568"/>
    <w:rsid w:val="008D4CD0"/>
    <w:rsid w:val="008E2CB9"/>
    <w:rsid w:val="008F5AED"/>
    <w:rsid w:val="0091649F"/>
    <w:rsid w:val="00932C1C"/>
    <w:rsid w:val="00971223"/>
    <w:rsid w:val="009A1C72"/>
    <w:rsid w:val="009F45CE"/>
    <w:rsid w:val="00A60F19"/>
    <w:rsid w:val="00AB3FAB"/>
    <w:rsid w:val="00AF0E16"/>
    <w:rsid w:val="00B04D7D"/>
    <w:rsid w:val="00B1495A"/>
    <w:rsid w:val="00B37CBB"/>
    <w:rsid w:val="00B70C4F"/>
    <w:rsid w:val="00BA1FA3"/>
    <w:rsid w:val="00BA7118"/>
    <w:rsid w:val="00BD483F"/>
    <w:rsid w:val="00BE2B55"/>
    <w:rsid w:val="00D22323"/>
    <w:rsid w:val="00D44676"/>
    <w:rsid w:val="00DD170C"/>
    <w:rsid w:val="00E04170"/>
    <w:rsid w:val="00E10A78"/>
    <w:rsid w:val="00E1378E"/>
    <w:rsid w:val="00E14DA2"/>
    <w:rsid w:val="00E40749"/>
    <w:rsid w:val="00E7041D"/>
    <w:rsid w:val="00E85DEA"/>
    <w:rsid w:val="00EA6FC8"/>
    <w:rsid w:val="00F11E53"/>
    <w:rsid w:val="00F2453B"/>
    <w:rsid w:val="00F31920"/>
    <w:rsid w:val="00F46B66"/>
    <w:rsid w:val="00F5504B"/>
    <w:rsid w:val="00F917BE"/>
    <w:rsid w:val="00FF07AF"/>
    <w:rsid w:val="00FF3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07FC"/>
  <w15:chartTrackingRefBased/>
  <w15:docId w15:val="{7FA8F264-DD02-4489-A87C-D0DCDBAE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41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170"/>
    <w:rPr>
      <w:rFonts w:ascii="Segoe UI" w:hAnsi="Segoe UI" w:cs="Segoe UI"/>
      <w:sz w:val="18"/>
      <w:szCs w:val="18"/>
    </w:rPr>
  </w:style>
  <w:style w:type="paragraph" w:styleId="Revision">
    <w:name w:val="Revision"/>
    <w:hidden/>
    <w:uiPriority w:val="99"/>
    <w:semiHidden/>
    <w:rsid w:val="008D4CD0"/>
    <w:pPr>
      <w:spacing w:after="0" w:line="240" w:lineRule="auto"/>
    </w:pPr>
  </w:style>
  <w:style w:type="paragraph" w:styleId="ListParagraph">
    <w:name w:val="List Paragraph"/>
    <w:basedOn w:val="Normal"/>
    <w:uiPriority w:val="34"/>
    <w:qFormat/>
    <w:rsid w:val="00F31920"/>
    <w:pPr>
      <w:ind w:left="720"/>
      <w:contextualSpacing/>
    </w:pPr>
  </w:style>
  <w:style w:type="paragraph" w:styleId="Header">
    <w:name w:val="header"/>
    <w:basedOn w:val="Normal"/>
    <w:link w:val="HeaderChar"/>
    <w:uiPriority w:val="99"/>
    <w:unhideWhenUsed/>
    <w:rsid w:val="006F4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658"/>
  </w:style>
  <w:style w:type="paragraph" w:styleId="Footer">
    <w:name w:val="footer"/>
    <w:basedOn w:val="Normal"/>
    <w:link w:val="FooterChar"/>
    <w:uiPriority w:val="99"/>
    <w:unhideWhenUsed/>
    <w:rsid w:val="006F4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658"/>
  </w:style>
  <w:style w:type="character" w:styleId="CommentReference">
    <w:name w:val="annotation reference"/>
    <w:basedOn w:val="DefaultParagraphFont"/>
    <w:uiPriority w:val="99"/>
    <w:semiHidden/>
    <w:unhideWhenUsed/>
    <w:rsid w:val="00E40749"/>
    <w:rPr>
      <w:sz w:val="16"/>
      <w:szCs w:val="16"/>
    </w:rPr>
  </w:style>
  <w:style w:type="paragraph" w:styleId="CommentText">
    <w:name w:val="annotation text"/>
    <w:basedOn w:val="Normal"/>
    <w:link w:val="CommentTextChar"/>
    <w:uiPriority w:val="99"/>
    <w:unhideWhenUsed/>
    <w:rsid w:val="00E40749"/>
    <w:pPr>
      <w:spacing w:line="240" w:lineRule="auto"/>
    </w:pPr>
    <w:rPr>
      <w:sz w:val="20"/>
      <w:szCs w:val="20"/>
    </w:rPr>
  </w:style>
  <w:style w:type="character" w:customStyle="1" w:styleId="CommentTextChar">
    <w:name w:val="Comment Text Char"/>
    <w:basedOn w:val="DefaultParagraphFont"/>
    <w:link w:val="CommentText"/>
    <w:uiPriority w:val="99"/>
    <w:rsid w:val="00E40749"/>
    <w:rPr>
      <w:sz w:val="20"/>
      <w:szCs w:val="20"/>
    </w:rPr>
  </w:style>
  <w:style w:type="paragraph" w:styleId="CommentSubject">
    <w:name w:val="annotation subject"/>
    <w:basedOn w:val="CommentText"/>
    <w:next w:val="CommentText"/>
    <w:link w:val="CommentSubjectChar"/>
    <w:uiPriority w:val="99"/>
    <w:semiHidden/>
    <w:unhideWhenUsed/>
    <w:rsid w:val="00E40749"/>
    <w:rPr>
      <w:b/>
      <w:bCs/>
    </w:rPr>
  </w:style>
  <w:style w:type="character" w:customStyle="1" w:styleId="CommentSubjectChar">
    <w:name w:val="Comment Subject Char"/>
    <w:basedOn w:val="CommentTextChar"/>
    <w:link w:val="CommentSubject"/>
    <w:uiPriority w:val="99"/>
    <w:semiHidden/>
    <w:rsid w:val="00E40749"/>
    <w:rPr>
      <w:b/>
      <w:bCs/>
      <w:sz w:val="20"/>
      <w:szCs w:val="20"/>
    </w:rPr>
  </w:style>
  <w:style w:type="character" w:styleId="Hyperlink">
    <w:name w:val="Hyperlink"/>
    <w:basedOn w:val="DefaultParagraphFont"/>
    <w:uiPriority w:val="99"/>
    <w:unhideWhenUsed/>
    <w:rsid w:val="003A12E4"/>
    <w:rPr>
      <w:color w:val="0563C1" w:themeColor="hyperlink"/>
      <w:u w:val="single"/>
    </w:rPr>
  </w:style>
  <w:style w:type="character" w:styleId="UnresolvedMention">
    <w:name w:val="Unresolved Mention"/>
    <w:basedOn w:val="DefaultParagraphFont"/>
    <w:uiPriority w:val="99"/>
    <w:semiHidden/>
    <w:unhideWhenUsed/>
    <w:rsid w:val="003A1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797617">
      <w:bodyDiv w:val="1"/>
      <w:marLeft w:val="0"/>
      <w:marRight w:val="0"/>
      <w:marTop w:val="0"/>
      <w:marBottom w:val="0"/>
      <w:divBdr>
        <w:top w:val="none" w:sz="0" w:space="0" w:color="auto"/>
        <w:left w:val="none" w:sz="0" w:space="0" w:color="auto"/>
        <w:bottom w:val="none" w:sz="0" w:space="0" w:color="auto"/>
        <w:right w:val="none" w:sz="0" w:space="0" w:color="auto"/>
      </w:divBdr>
    </w:div>
    <w:div w:id="160436645">
      <w:bodyDiv w:val="1"/>
      <w:marLeft w:val="0"/>
      <w:marRight w:val="0"/>
      <w:marTop w:val="0"/>
      <w:marBottom w:val="0"/>
      <w:divBdr>
        <w:top w:val="none" w:sz="0" w:space="0" w:color="auto"/>
        <w:left w:val="none" w:sz="0" w:space="0" w:color="auto"/>
        <w:bottom w:val="none" w:sz="0" w:space="0" w:color="auto"/>
        <w:right w:val="none" w:sz="0" w:space="0" w:color="auto"/>
      </w:divBdr>
    </w:div>
    <w:div w:id="165366080">
      <w:bodyDiv w:val="1"/>
      <w:marLeft w:val="0"/>
      <w:marRight w:val="0"/>
      <w:marTop w:val="0"/>
      <w:marBottom w:val="0"/>
      <w:divBdr>
        <w:top w:val="none" w:sz="0" w:space="0" w:color="auto"/>
        <w:left w:val="none" w:sz="0" w:space="0" w:color="auto"/>
        <w:bottom w:val="none" w:sz="0" w:space="0" w:color="auto"/>
        <w:right w:val="none" w:sz="0" w:space="0" w:color="auto"/>
      </w:divBdr>
    </w:div>
    <w:div w:id="174999355">
      <w:bodyDiv w:val="1"/>
      <w:marLeft w:val="0"/>
      <w:marRight w:val="0"/>
      <w:marTop w:val="0"/>
      <w:marBottom w:val="0"/>
      <w:divBdr>
        <w:top w:val="none" w:sz="0" w:space="0" w:color="auto"/>
        <w:left w:val="none" w:sz="0" w:space="0" w:color="auto"/>
        <w:bottom w:val="none" w:sz="0" w:space="0" w:color="auto"/>
        <w:right w:val="none" w:sz="0" w:space="0" w:color="auto"/>
      </w:divBdr>
    </w:div>
    <w:div w:id="598678572">
      <w:bodyDiv w:val="1"/>
      <w:marLeft w:val="0"/>
      <w:marRight w:val="0"/>
      <w:marTop w:val="0"/>
      <w:marBottom w:val="0"/>
      <w:divBdr>
        <w:top w:val="none" w:sz="0" w:space="0" w:color="auto"/>
        <w:left w:val="none" w:sz="0" w:space="0" w:color="auto"/>
        <w:bottom w:val="none" w:sz="0" w:space="0" w:color="auto"/>
        <w:right w:val="none" w:sz="0" w:space="0" w:color="auto"/>
      </w:divBdr>
    </w:div>
    <w:div w:id="932084981">
      <w:bodyDiv w:val="1"/>
      <w:marLeft w:val="0"/>
      <w:marRight w:val="0"/>
      <w:marTop w:val="0"/>
      <w:marBottom w:val="0"/>
      <w:divBdr>
        <w:top w:val="none" w:sz="0" w:space="0" w:color="auto"/>
        <w:left w:val="none" w:sz="0" w:space="0" w:color="auto"/>
        <w:bottom w:val="none" w:sz="0" w:space="0" w:color="auto"/>
        <w:right w:val="none" w:sz="0" w:space="0" w:color="auto"/>
      </w:divBdr>
    </w:div>
    <w:div w:id="1037313378">
      <w:bodyDiv w:val="1"/>
      <w:marLeft w:val="0"/>
      <w:marRight w:val="0"/>
      <w:marTop w:val="0"/>
      <w:marBottom w:val="0"/>
      <w:divBdr>
        <w:top w:val="none" w:sz="0" w:space="0" w:color="auto"/>
        <w:left w:val="none" w:sz="0" w:space="0" w:color="auto"/>
        <w:bottom w:val="none" w:sz="0" w:space="0" w:color="auto"/>
        <w:right w:val="none" w:sz="0" w:space="0" w:color="auto"/>
      </w:divBdr>
      <w:divsChild>
        <w:div w:id="1401368298">
          <w:marLeft w:val="0"/>
          <w:marRight w:val="0"/>
          <w:marTop w:val="0"/>
          <w:marBottom w:val="0"/>
          <w:divBdr>
            <w:top w:val="none" w:sz="0" w:space="0" w:color="auto"/>
            <w:left w:val="none" w:sz="0" w:space="0" w:color="auto"/>
            <w:bottom w:val="none" w:sz="0" w:space="0" w:color="auto"/>
            <w:right w:val="none" w:sz="0" w:space="0" w:color="auto"/>
          </w:divBdr>
        </w:div>
        <w:div w:id="1846627416">
          <w:marLeft w:val="0"/>
          <w:marRight w:val="0"/>
          <w:marTop w:val="0"/>
          <w:marBottom w:val="0"/>
          <w:divBdr>
            <w:top w:val="none" w:sz="0" w:space="0" w:color="auto"/>
            <w:left w:val="none" w:sz="0" w:space="0" w:color="auto"/>
            <w:bottom w:val="none" w:sz="0" w:space="0" w:color="auto"/>
            <w:right w:val="none" w:sz="0" w:space="0" w:color="auto"/>
          </w:divBdr>
        </w:div>
        <w:div w:id="1669402572">
          <w:marLeft w:val="0"/>
          <w:marRight w:val="0"/>
          <w:marTop w:val="0"/>
          <w:marBottom w:val="0"/>
          <w:divBdr>
            <w:top w:val="none" w:sz="0" w:space="0" w:color="auto"/>
            <w:left w:val="none" w:sz="0" w:space="0" w:color="auto"/>
            <w:bottom w:val="none" w:sz="0" w:space="0" w:color="auto"/>
            <w:right w:val="none" w:sz="0" w:space="0" w:color="auto"/>
          </w:divBdr>
        </w:div>
        <w:div w:id="487598813">
          <w:marLeft w:val="0"/>
          <w:marRight w:val="0"/>
          <w:marTop w:val="0"/>
          <w:marBottom w:val="0"/>
          <w:divBdr>
            <w:top w:val="none" w:sz="0" w:space="0" w:color="auto"/>
            <w:left w:val="none" w:sz="0" w:space="0" w:color="auto"/>
            <w:bottom w:val="none" w:sz="0" w:space="0" w:color="auto"/>
            <w:right w:val="none" w:sz="0" w:space="0" w:color="auto"/>
          </w:divBdr>
        </w:div>
        <w:div w:id="1646012177">
          <w:marLeft w:val="0"/>
          <w:marRight w:val="0"/>
          <w:marTop w:val="0"/>
          <w:marBottom w:val="0"/>
          <w:divBdr>
            <w:top w:val="none" w:sz="0" w:space="0" w:color="auto"/>
            <w:left w:val="none" w:sz="0" w:space="0" w:color="auto"/>
            <w:bottom w:val="none" w:sz="0" w:space="0" w:color="auto"/>
            <w:right w:val="none" w:sz="0" w:space="0" w:color="auto"/>
          </w:divBdr>
        </w:div>
      </w:divsChild>
    </w:div>
    <w:div w:id="1590843301">
      <w:bodyDiv w:val="1"/>
      <w:marLeft w:val="0"/>
      <w:marRight w:val="0"/>
      <w:marTop w:val="0"/>
      <w:marBottom w:val="0"/>
      <w:divBdr>
        <w:top w:val="none" w:sz="0" w:space="0" w:color="auto"/>
        <w:left w:val="none" w:sz="0" w:space="0" w:color="auto"/>
        <w:bottom w:val="none" w:sz="0" w:space="0" w:color="auto"/>
        <w:right w:val="none" w:sz="0" w:space="0" w:color="auto"/>
      </w:divBdr>
    </w:div>
    <w:div w:id="1730570804">
      <w:bodyDiv w:val="1"/>
      <w:marLeft w:val="0"/>
      <w:marRight w:val="0"/>
      <w:marTop w:val="0"/>
      <w:marBottom w:val="0"/>
      <w:divBdr>
        <w:top w:val="none" w:sz="0" w:space="0" w:color="auto"/>
        <w:left w:val="none" w:sz="0" w:space="0" w:color="auto"/>
        <w:bottom w:val="none" w:sz="0" w:space="0" w:color="auto"/>
        <w:right w:val="none" w:sz="0" w:space="0" w:color="auto"/>
      </w:divBdr>
    </w:div>
    <w:div w:id="210557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NYU Langone Health</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Bershteyn, Anna</dc:creator>
  <cp:keywords/>
  <dc:description/>
  <cp:lastModifiedBy>Yamamoto, Nao</cp:lastModifiedBy>
  <cp:revision>3</cp:revision>
  <dcterms:created xsi:type="dcterms:W3CDTF">2026-09-23T20:17:00Z</dcterms:created>
  <dcterms:modified xsi:type="dcterms:W3CDTF">2026-09-24T04:15:00Z</dcterms:modified>
</cp:coreProperties>
</file>