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081D3E" w14:textId="7DC5E65B" w:rsidR="008477CA" w:rsidRDefault="00047617" w:rsidP="00783ADC">
      <w:pPr>
        <w:spacing w:after="0" w:line="240" w:lineRule="auto"/>
        <w:rPr>
          <w:rFonts w:ascii="Calibri" w:hAnsi="Calibri" w:cs="Calibri"/>
          <w:b/>
        </w:rPr>
      </w:pPr>
      <w:r w:rsidRPr="00047617">
        <w:rPr>
          <w:rFonts w:ascii="Calibri" w:hAnsi="Calibri" w:cs="Calibri"/>
          <w:b/>
        </w:rPr>
        <w:t>"Finding the spark before the fire": modeling RTRI-guided HIV outbreak detection and partner services to accelerate epidemic control in Zambia</w:t>
      </w:r>
    </w:p>
    <w:p w14:paraId="10330299" w14:textId="77777777" w:rsidR="00047617" w:rsidRDefault="00047617" w:rsidP="00783ADC">
      <w:pPr>
        <w:spacing w:after="0" w:line="240" w:lineRule="auto"/>
        <w:rPr>
          <w:rFonts w:ascii="Calibri" w:eastAsia="Times New Roman" w:hAnsi="Calibri" w:cs="Calibri"/>
        </w:rPr>
      </w:pPr>
    </w:p>
    <w:p w14:paraId="7447BE49" w14:textId="503E31A1" w:rsidR="00F31920" w:rsidRDefault="00F31920" w:rsidP="00783ADC">
      <w:pPr>
        <w:spacing w:after="0" w:line="240" w:lineRule="auto"/>
        <w:rPr>
          <w:rFonts w:ascii="Calibri" w:eastAsia="Times New Roman" w:hAnsi="Calibri" w:cs="Calibri"/>
          <w:vertAlign w:val="superscript"/>
        </w:rPr>
      </w:pPr>
      <w:r>
        <w:rPr>
          <w:rFonts w:ascii="Calibri" w:eastAsia="Times New Roman" w:hAnsi="Calibri" w:cs="Calibri"/>
        </w:rPr>
        <w:t>Nao Yamamoto</w:t>
      </w:r>
      <w:r w:rsidRPr="00F31920">
        <w:rPr>
          <w:rFonts w:ascii="Calibri" w:eastAsia="Times New Roman" w:hAnsi="Calibri" w:cs="Calibri"/>
          <w:vertAlign w:val="superscript"/>
        </w:rPr>
        <w:t>1</w:t>
      </w:r>
      <w:r>
        <w:rPr>
          <w:rFonts w:ascii="Calibri" w:eastAsia="Times New Roman" w:hAnsi="Calibri" w:cs="Calibri"/>
        </w:rPr>
        <w:t xml:space="preserve">, </w:t>
      </w:r>
      <w:r w:rsidR="003B6AA8" w:rsidRPr="003B6AA8">
        <w:rPr>
          <w:rFonts w:ascii="Calibri" w:eastAsia="Times New Roman" w:hAnsi="Calibri" w:cs="Calibri"/>
        </w:rPr>
        <w:t>Robyn M Stuart</w:t>
      </w:r>
      <w:r w:rsidR="003B6AA8">
        <w:rPr>
          <w:rFonts w:ascii="Calibri" w:eastAsia="Times New Roman" w:hAnsi="Calibri" w:cs="Calibri"/>
          <w:vertAlign w:val="superscript"/>
        </w:rPr>
        <w:t>2</w:t>
      </w:r>
      <w:r w:rsidR="003B6AA8">
        <w:rPr>
          <w:rFonts w:ascii="Calibri" w:eastAsia="Times New Roman" w:hAnsi="Calibri" w:cs="Calibri"/>
        </w:rPr>
        <w:t xml:space="preserve">, </w:t>
      </w:r>
      <w:proofErr w:type="spellStart"/>
      <w:r w:rsidR="009A1C72">
        <w:rPr>
          <w:rFonts w:ascii="Calibri" w:eastAsia="Times New Roman" w:hAnsi="Calibri" w:cs="Calibri"/>
        </w:rPr>
        <w:t>Sulani</w:t>
      </w:r>
      <w:proofErr w:type="spellEnd"/>
      <w:r w:rsidR="009A1C72">
        <w:rPr>
          <w:rFonts w:ascii="Calibri" w:eastAsia="Times New Roman" w:hAnsi="Calibri" w:cs="Calibri"/>
        </w:rPr>
        <w:t xml:space="preserve"> Nymbili</w:t>
      </w:r>
      <w:r w:rsidR="009A1C72" w:rsidRPr="00F31920">
        <w:rPr>
          <w:rFonts w:ascii="Calibri" w:eastAsia="Times New Roman" w:hAnsi="Calibri" w:cs="Calibri"/>
          <w:vertAlign w:val="superscript"/>
        </w:rPr>
        <w:t>1</w:t>
      </w:r>
      <w:r w:rsidR="009A1C72">
        <w:rPr>
          <w:rFonts w:ascii="Calibri" w:eastAsia="Times New Roman" w:hAnsi="Calibri" w:cs="Calibri"/>
        </w:rPr>
        <w:t>, David Kaftan</w:t>
      </w:r>
      <w:r w:rsidR="009A1C72" w:rsidRPr="00F31920">
        <w:rPr>
          <w:rFonts w:ascii="Calibri" w:eastAsia="Times New Roman" w:hAnsi="Calibri" w:cs="Calibri"/>
          <w:vertAlign w:val="superscript"/>
        </w:rPr>
        <w:t>1</w:t>
      </w:r>
      <w:r w:rsidR="009A1C72">
        <w:rPr>
          <w:rFonts w:ascii="Calibri" w:eastAsia="Times New Roman" w:hAnsi="Calibri" w:cs="Calibri"/>
        </w:rPr>
        <w:t xml:space="preserve">, </w:t>
      </w:r>
      <w:r w:rsidR="003B6AA8">
        <w:rPr>
          <w:rFonts w:ascii="Calibri" w:eastAsia="Times New Roman" w:hAnsi="Calibri" w:cs="Calibri"/>
        </w:rPr>
        <w:t>Ingrida Platais</w:t>
      </w:r>
      <w:r w:rsidR="003B6AA8" w:rsidRPr="00F31920">
        <w:rPr>
          <w:rFonts w:ascii="Calibri" w:eastAsia="Times New Roman" w:hAnsi="Calibri" w:cs="Calibri"/>
          <w:vertAlign w:val="superscript"/>
        </w:rPr>
        <w:t>1</w:t>
      </w:r>
      <w:r w:rsidR="003B6AA8">
        <w:rPr>
          <w:rFonts w:ascii="Calibri" w:eastAsia="Times New Roman" w:hAnsi="Calibri" w:cs="Calibri"/>
        </w:rPr>
        <w:t xml:space="preserve">, </w:t>
      </w:r>
      <w:r w:rsidRPr="00F31920">
        <w:rPr>
          <w:rFonts w:ascii="Calibri" w:eastAsia="Times New Roman" w:hAnsi="Calibri" w:cs="Calibri"/>
        </w:rPr>
        <w:t>Anna Bershteyn</w:t>
      </w:r>
      <w:r w:rsidRPr="00F31920">
        <w:rPr>
          <w:rFonts w:ascii="Calibri" w:eastAsia="Times New Roman" w:hAnsi="Calibri" w:cs="Calibri"/>
          <w:vertAlign w:val="superscript"/>
        </w:rPr>
        <w:t>1</w:t>
      </w:r>
    </w:p>
    <w:p w14:paraId="103DB7C5" w14:textId="77777777" w:rsidR="002C0851" w:rsidRDefault="002C0851" w:rsidP="00783ADC">
      <w:pPr>
        <w:spacing w:after="0" w:line="240" w:lineRule="auto"/>
        <w:rPr>
          <w:rFonts w:ascii="Calibri" w:eastAsia="Times New Roman" w:hAnsi="Calibri" w:cs="Calibri"/>
        </w:rPr>
      </w:pPr>
    </w:p>
    <w:p w14:paraId="39A43FBA" w14:textId="79DFBA82" w:rsidR="00F31920" w:rsidRDefault="00F31920" w:rsidP="00783ADC">
      <w:pPr>
        <w:spacing w:after="0" w:line="240" w:lineRule="auto"/>
        <w:rPr>
          <w:rFonts w:ascii="Calibri" w:eastAsia="Times New Roman" w:hAnsi="Calibri" w:cs="Calibri"/>
          <w:bCs/>
        </w:rPr>
      </w:pPr>
      <w:r w:rsidRPr="00F31920">
        <w:rPr>
          <w:rFonts w:ascii="Calibri" w:eastAsia="Times New Roman" w:hAnsi="Calibri" w:cs="Calibri"/>
          <w:bCs/>
        </w:rPr>
        <w:t>1</w:t>
      </w:r>
      <w:r>
        <w:rPr>
          <w:rFonts w:ascii="Calibri" w:eastAsia="Times New Roman" w:hAnsi="Calibri" w:cs="Calibri"/>
          <w:bCs/>
        </w:rPr>
        <w:t xml:space="preserve">. </w:t>
      </w:r>
      <w:r w:rsidRPr="00F31920">
        <w:rPr>
          <w:rFonts w:ascii="Calibri" w:eastAsia="Times New Roman" w:hAnsi="Calibri" w:cs="Calibri"/>
          <w:bCs/>
        </w:rPr>
        <w:t>Department of Population Health, New York University Grossman School of Medicine, New York, New York, USA.</w:t>
      </w:r>
    </w:p>
    <w:p w14:paraId="10CF5152" w14:textId="0C138317" w:rsidR="003B6AA8" w:rsidRDefault="003B6AA8" w:rsidP="00783ADC">
      <w:pPr>
        <w:spacing w:after="0" w:line="240" w:lineRule="auto"/>
        <w:rPr>
          <w:rFonts w:ascii="Calibri" w:eastAsia="Times New Roman" w:hAnsi="Calibri" w:cs="Calibri"/>
          <w:bCs/>
        </w:rPr>
      </w:pPr>
      <w:r>
        <w:rPr>
          <w:rFonts w:ascii="Calibri" w:eastAsia="Times New Roman" w:hAnsi="Calibri" w:cs="Calibri"/>
          <w:bCs/>
        </w:rPr>
        <w:t xml:space="preserve">2. </w:t>
      </w:r>
      <w:r w:rsidRPr="003B6AA8">
        <w:rPr>
          <w:rFonts w:ascii="Calibri" w:eastAsia="Times New Roman" w:hAnsi="Calibri" w:cs="Calibri"/>
          <w:bCs/>
        </w:rPr>
        <w:t>Institute for Disease Modeling, Global Health Division, Bill &amp; Melinda Gates Foundation, Seattle, Washington, United States of America</w:t>
      </w:r>
    </w:p>
    <w:p w14:paraId="074F76EB" w14:textId="77777777" w:rsidR="00F31920" w:rsidRDefault="00F31920" w:rsidP="00783ADC">
      <w:pPr>
        <w:spacing w:after="0" w:line="240" w:lineRule="auto"/>
        <w:rPr>
          <w:rFonts w:ascii="Calibri" w:eastAsia="Times New Roman" w:hAnsi="Calibri" w:cs="Calibri"/>
          <w:b/>
        </w:rPr>
      </w:pPr>
    </w:p>
    <w:p w14:paraId="5C4AF26C" w14:textId="009713CD" w:rsidR="00783ADC" w:rsidRDefault="006F4658" w:rsidP="00783ADC">
      <w:pPr>
        <w:spacing w:after="0" w:line="240" w:lineRule="auto"/>
        <w:rPr>
          <w:rFonts w:ascii="Calibri" w:eastAsia="Times New Roman" w:hAnsi="Calibri" w:cs="Calibri"/>
          <w:b/>
        </w:rPr>
      </w:pPr>
      <w:r>
        <w:rPr>
          <w:rFonts w:ascii="Calibri" w:eastAsia="Times New Roman" w:hAnsi="Calibri" w:cs="Calibri"/>
          <w:b/>
        </w:rPr>
        <w:t>Background</w:t>
      </w:r>
    </w:p>
    <w:p w14:paraId="5D7A3A7D" w14:textId="3AC3B423" w:rsidR="0091649F" w:rsidRDefault="00B37CBB" w:rsidP="000F3BE6">
      <w:pPr>
        <w:spacing w:after="0" w:line="240" w:lineRule="auto"/>
        <w:rPr>
          <w:rFonts w:ascii="Calibri" w:eastAsia="Times New Roman" w:hAnsi="Calibri" w:cs="Calibri"/>
          <w:bCs/>
        </w:rPr>
      </w:pPr>
      <w:r w:rsidRPr="00B37CBB">
        <w:rPr>
          <w:rFonts w:ascii="Calibri" w:eastAsia="Times New Roman" w:hAnsi="Calibri" w:cs="Calibri"/>
          <w:bCs/>
        </w:rPr>
        <w:t>Ending the HIV epidemic requires interrupting recent transmission before it amplifies into larger outbreaks. Rapid tests for recent HIV infection (RTRI), paired with partner notification, may enable targeted outbreak response, but the population-level impact of current RTRI guidelines in generalized epidemics remains uncertain. This study aimed to determine the minimum network tracing depth—in hops from an RTRI-identified index case—required to reduce HIV incidence and achieve epidemic control in Zambia.</w:t>
      </w:r>
    </w:p>
    <w:p w14:paraId="085EC3F8" w14:textId="77777777" w:rsidR="00B37CBB" w:rsidRPr="000F3BE6" w:rsidRDefault="00B37CBB" w:rsidP="000F3BE6">
      <w:pPr>
        <w:spacing w:after="0" w:line="240" w:lineRule="auto"/>
        <w:rPr>
          <w:rFonts w:ascii="Calibri" w:eastAsia="Times New Roman" w:hAnsi="Calibri" w:cs="Calibri"/>
          <w:bCs/>
        </w:rPr>
      </w:pPr>
    </w:p>
    <w:p w14:paraId="0CA613A4" w14:textId="77777777" w:rsidR="000F3BE6" w:rsidRPr="00F11E53" w:rsidRDefault="000F3BE6" w:rsidP="000F3BE6">
      <w:pPr>
        <w:spacing w:after="0" w:line="240" w:lineRule="auto"/>
        <w:rPr>
          <w:rFonts w:ascii="Calibri" w:eastAsia="Times New Roman" w:hAnsi="Calibri" w:cs="Calibri"/>
          <w:b/>
        </w:rPr>
      </w:pPr>
      <w:r w:rsidRPr="00F11E53">
        <w:rPr>
          <w:rFonts w:ascii="Calibri" w:eastAsia="Times New Roman" w:hAnsi="Calibri" w:cs="Calibri"/>
          <w:b/>
        </w:rPr>
        <w:t>Methods</w:t>
      </w:r>
    </w:p>
    <w:p w14:paraId="48B187EF" w14:textId="0A3F54C6" w:rsidR="0091649F" w:rsidRDefault="00B37CBB" w:rsidP="000F3BE6">
      <w:pPr>
        <w:spacing w:after="0" w:line="240" w:lineRule="auto"/>
        <w:rPr>
          <w:rFonts w:ascii="Calibri" w:eastAsia="Times New Roman" w:hAnsi="Calibri" w:cs="Calibri"/>
          <w:bCs/>
        </w:rPr>
      </w:pPr>
      <w:r w:rsidRPr="00B37CBB">
        <w:rPr>
          <w:rFonts w:ascii="Calibri" w:eastAsia="Times New Roman" w:hAnsi="Calibri" w:cs="Calibri"/>
          <w:bCs/>
        </w:rPr>
        <w:t xml:space="preserve">We developed an agent-based HIV model of Zambia in </w:t>
      </w:r>
      <w:proofErr w:type="spellStart"/>
      <w:r w:rsidRPr="00B37CBB">
        <w:rPr>
          <w:rFonts w:ascii="Calibri" w:eastAsia="Times New Roman" w:hAnsi="Calibri" w:cs="Calibri"/>
          <w:bCs/>
        </w:rPr>
        <w:t>STIsim</w:t>
      </w:r>
      <w:proofErr w:type="spellEnd"/>
      <w:r w:rsidRPr="00B37CBB">
        <w:rPr>
          <w:rFonts w:ascii="Calibri" w:eastAsia="Times New Roman" w:hAnsi="Calibri" w:cs="Calibri"/>
          <w:bCs/>
        </w:rPr>
        <w:t xml:space="preserve"> with current and prior (3-month recall) sexual networks. We calibrated the model to national HIV surveillance data (1985–2022) and age- and sex-stratified prevalence from 5 Demographic and Health Surveys (DHS, 2002–2024) across 500 parameter draws. Baseline services included routine testing, antiretroviral therapy (97% coverage by 2024), and pre-exposure prophylaxis. From 2026 to 2050, we simulated RTRI-guided response at 0 (no RTRI response), 1 (direct partners), 2, or 3 hops, notifying, testing, and treating sexual contacts of people with newly identified recent infection and continuing tracing from newly diagnosed partners up to the hop limit. We compared annual HIV incidence and the year each scenario first reached epidemic control, defined as incidence &lt;0.1 per 100 person-years.</w:t>
      </w:r>
    </w:p>
    <w:p w14:paraId="3BAB6637" w14:textId="77777777" w:rsidR="00B37CBB" w:rsidRPr="000F3BE6" w:rsidRDefault="00B37CBB" w:rsidP="000F3BE6">
      <w:pPr>
        <w:spacing w:after="0" w:line="240" w:lineRule="auto"/>
        <w:rPr>
          <w:rFonts w:ascii="Calibri" w:eastAsia="Times New Roman" w:hAnsi="Calibri" w:cs="Calibri"/>
          <w:bCs/>
        </w:rPr>
      </w:pPr>
    </w:p>
    <w:p w14:paraId="4500AA10" w14:textId="77777777" w:rsidR="000F3BE6" w:rsidRPr="00F11E53" w:rsidRDefault="000F3BE6" w:rsidP="000F3BE6">
      <w:pPr>
        <w:spacing w:after="0" w:line="240" w:lineRule="auto"/>
        <w:rPr>
          <w:rFonts w:ascii="Calibri" w:eastAsia="Times New Roman" w:hAnsi="Calibri" w:cs="Calibri"/>
          <w:b/>
        </w:rPr>
      </w:pPr>
      <w:r w:rsidRPr="00F11E53">
        <w:rPr>
          <w:rFonts w:ascii="Calibri" w:eastAsia="Times New Roman" w:hAnsi="Calibri" w:cs="Calibri"/>
          <w:b/>
        </w:rPr>
        <w:t>Results</w:t>
      </w:r>
    </w:p>
    <w:p w14:paraId="62BD9C31" w14:textId="52B71E6E" w:rsidR="0091649F" w:rsidRDefault="00B37CBB" w:rsidP="000F3BE6">
      <w:pPr>
        <w:spacing w:after="0" w:line="240" w:lineRule="auto"/>
        <w:rPr>
          <w:rFonts w:eastAsiaTheme="minorEastAsia"/>
          <w:lang w:eastAsia="ja-JP"/>
        </w:rPr>
      </w:pPr>
      <w:r w:rsidRPr="00B37CBB">
        <w:rPr>
          <w:rFonts w:eastAsiaTheme="minorEastAsia"/>
          <w:lang w:eastAsia="ja-JP"/>
        </w:rPr>
        <w:t>The calibrated model reproduced observed prevalence trends and DHS age-sex patterns. Under baseline, HIV incidence in 2050 was XX.X per 100 person-years (IQR XX.X–XX.X), and epidemic control was reached in YEAR (IQR YEAR–YEAR). Compared with baseline, 1-hop tracing reduced 2050 incidence by XX% (IQR XX–XX%), while extending to 2 hops achieved an additional XX% reduction (IQR XX–XX%). Extending tracing beyond H hops produced minimal additional reductions in incidence or time to epidemic control. Epidemic control was reached N, N, and N years earlier under 1-, 2-, and 3-hop tracing, respectively.</w:t>
      </w:r>
    </w:p>
    <w:p w14:paraId="5657E262" w14:textId="77777777" w:rsidR="00B37CBB" w:rsidRPr="000F3BE6" w:rsidRDefault="00B37CBB" w:rsidP="000F3BE6">
      <w:pPr>
        <w:spacing w:after="0" w:line="240" w:lineRule="auto"/>
        <w:rPr>
          <w:rFonts w:ascii="Calibri" w:eastAsia="Times New Roman" w:hAnsi="Calibri" w:cs="Calibri"/>
          <w:bCs/>
        </w:rPr>
      </w:pPr>
    </w:p>
    <w:p w14:paraId="017E8DE4" w14:textId="3EDF5858" w:rsidR="000F3BE6" w:rsidRPr="00F2453B" w:rsidRDefault="000F3BE6" w:rsidP="000F3BE6">
      <w:pPr>
        <w:spacing w:after="0" w:line="240" w:lineRule="auto"/>
        <w:rPr>
          <w:rFonts w:ascii="Calibri" w:eastAsia="Times New Roman" w:hAnsi="Calibri" w:cs="Calibri"/>
          <w:b/>
        </w:rPr>
      </w:pPr>
      <w:r w:rsidRPr="00F2453B">
        <w:rPr>
          <w:rFonts w:ascii="Calibri" w:eastAsia="Times New Roman" w:hAnsi="Calibri" w:cs="Calibri"/>
          <w:b/>
        </w:rPr>
        <w:t>Conclusion</w:t>
      </w:r>
      <w:r w:rsidR="006F4658">
        <w:rPr>
          <w:rFonts w:ascii="Calibri" w:eastAsia="Times New Roman" w:hAnsi="Calibri" w:cs="Calibri"/>
          <w:b/>
        </w:rPr>
        <w:t>s</w:t>
      </w:r>
    </w:p>
    <w:p w14:paraId="4B7481CF" w14:textId="604A4324" w:rsidR="00EA6FC8" w:rsidRDefault="00B37CBB" w:rsidP="00B37CBB">
      <w:pPr>
        <w:rPr>
          <w:rFonts w:ascii="Calibri" w:eastAsia="Times New Roman" w:hAnsi="Calibri" w:cs="Calibri"/>
          <w:bCs/>
        </w:rPr>
      </w:pPr>
      <w:r w:rsidRPr="00B37CBB">
        <w:rPr>
          <w:rFonts w:ascii="Calibri" w:eastAsia="Times New Roman" w:hAnsi="Calibri" w:cs="Calibri"/>
          <w:bCs/>
        </w:rPr>
        <w:t>RTRI-guided partner tracing reduced HIV incidence and accelerated epidemic control in Zambia compared with routine services alone. Most benefit was achieved within H hop(s) of RTRI-identified index cases, suggesting that specifying this tracing depth in national RTRI guidelines could maximize population-level impact while avoiding unnecessary expansion of partner tracing.</w:t>
      </w:r>
    </w:p>
    <w:sectPr w:rsidR="00EA6FC8" w:rsidSect="00F5504B">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035C54" w14:textId="77777777" w:rsidR="00D22323" w:rsidRDefault="00D22323" w:rsidP="006F4658">
      <w:pPr>
        <w:spacing w:after="0" w:line="240" w:lineRule="auto"/>
      </w:pPr>
      <w:r>
        <w:separator/>
      </w:r>
    </w:p>
  </w:endnote>
  <w:endnote w:type="continuationSeparator" w:id="0">
    <w:p w14:paraId="77997980" w14:textId="77777777" w:rsidR="00D22323" w:rsidRDefault="00D22323" w:rsidP="006F4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45C6A8" w14:textId="77777777" w:rsidR="00D22323" w:rsidRDefault="00D22323" w:rsidP="006F4658">
      <w:pPr>
        <w:spacing w:after="0" w:line="240" w:lineRule="auto"/>
      </w:pPr>
      <w:r>
        <w:separator/>
      </w:r>
    </w:p>
  </w:footnote>
  <w:footnote w:type="continuationSeparator" w:id="0">
    <w:p w14:paraId="748C1DB9" w14:textId="77777777" w:rsidR="00D22323" w:rsidRDefault="00D22323" w:rsidP="006F4658">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F24"/>
    <w:rsid w:val="000070FF"/>
    <w:rsid w:val="00031A18"/>
    <w:rsid w:val="00032B4C"/>
    <w:rsid w:val="0004037F"/>
    <w:rsid w:val="00047617"/>
    <w:rsid w:val="000642C9"/>
    <w:rsid w:val="00093F24"/>
    <w:rsid w:val="000A4AF7"/>
    <w:rsid w:val="000F3BE6"/>
    <w:rsid w:val="00134B42"/>
    <w:rsid w:val="00145057"/>
    <w:rsid w:val="0015219D"/>
    <w:rsid w:val="001708F1"/>
    <w:rsid w:val="00190739"/>
    <w:rsid w:val="001C44A2"/>
    <w:rsid w:val="00203B0C"/>
    <w:rsid w:val="002149FC"/>
    <w:rsid w:val="0025028A"/>
    <w:rsid w:val="0026608A"/>
    <w:rsid w:val="002A7D37"/>
    <w:rsid w:val="002C0851"/>
    <w:rsid w:val="00310912"/>
    <w:rsid w:val="003A0A37"/>
    <w:rsid w:val="003A12E4"/>
    <w:rsid w:val="003B6AA8"/>
    <w:rsid w:val="003C3715"/>
    <w:rsid w:val="003F268E"/>
    <w:rsid w:val="00401552"/>
    <w:rsid w:val="004238DD"/>
    <w:rsid w:val="00495C6A"/>
    <w:rsid w:val="004A209E"/>
    <w:rsid w:val="004A6FAB"/>
    <w:rsid w:val="00566889"/>
    <w:rsid w:val="006055EA"/>
    <w:rsid w:val="006661CA"/>
    <w:rsid w:val="006B50F1"/>
    <w:rsid w:val="006D0058"/>
    <w:rsid w:val="006F4658"/>
    <w:rsid w:val="006F469E"/>
    <w:rsid w:val="006F71FE"/>
    <w:rsid w:val="00783ADC"/>
    <w:rsid w:val="00786A8C"/>
    <w:rsid w:val="007D2C52"/>
    <w:rsid w:val="008132C2"/>
    <w:rsid w:val="008477CA"/>
    <w:rsid w:val="0087513C"/>
    <w:rsid w:val="00875D9B"/>
    <w:rsid w:val="008D4568"/>
    <w:rsid w:val="008D4CD0"/>
    <w:rsid w:val="008E2CB9"/>
    <w:rsid w:val="008F5AED"/>
    <w:rsid w:val="0091649F"/>
    <w:rsid w:val="00932C1C"/>
    <w:rsid w:val="00971223"/>
    <w:rsid w:val="009A1C72"/>
    <w:rsid w:val="009F45CE"/>
    <w:rsid w:val="00A60F19"/>
    <w:rsid w:val="00AB3FAB"/>
    <w:rsid w:val="00AF0E16"/>
    <w:rsid w:val="00B04D7D"/>
    <w:rsid w:val="00B1495A"/>
    <w:rsid w:val="00B37CBB"/>
    <w:rsid w:val="00B70C4F"/>
    <w:rsid w:val="00BA1FA3"/>
    <w:rsid w:val="00BA7118"/>
    <w:rsid w:val="00BD483F"/>
    <w:rsid w:val="00BE2B55"/>
    <w:rsid w:val="00D22323"/>
    <w:rsid w:val="00D44676"/>
    <w:rsid w:val="00DD170C"/>
    <w:rsid w:val="00E04170"/>
    <w:rsid w:val="00E10A78"/>
    <w:rsid w:val="00E1378E"/>
    <w:rsid w:val="00E14DA2"/>
    <w:rsid w:val="00E40749"/>
    <w:rsid w:val="00E7041D"/>
    <w:rsid w:val="00E85DEA"/>
    <w:rsid w:val="00EA6FC8"/>
    <w:rsid w:val="00F11E53"/>
    <w:rsid w:val="00F2453B"/>
    <w:rsid w:val="00F31920"/>
    <w:rsid w:val="00F46B66"/>
    <w:rsid w:val="00F5504B"/>
    <w:rsid w:val="00F917BE"/>
    <w:rsid w:val="00FF07AF"/>
    <w:rsid w:val="00FF3D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07FC"/>
  <w15:chartTrackingRefBased/>
  <w15:docId w15:val="{7FA8F264-DD02-4489-A87C-D0DCDBAE9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8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41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4170"/>
    <w:rPr>
      <w:rFonts w:ascii="Segoe UI" w:hAnsi="Segoe UI" w:cs="Segoe UI"/>
      <w:sz w:val="18"/>
      <w:szCs w:val="18"/>
    </w:rPr>
  </w:style>
  <w:style w:type="paragraph" w:styleId="Revision">
    <w:name w:val="Revision"/>
    <w:hidden/>
    <w:uiPriority w:val="99"/>
    <w:semiHidden/>
    <w:rsid w:val="008D4CD0"/>
    <w:pPr>
      <w:spacing w:after="0" w:line="240" w:lineRule="auto"/>
    </w:pPr>
  </w:style>
  <w:style w:type="paragraph" w:styleId="ListParagraph">
    <w:name w:val="List Paragraph"/>
    <w:basedOn w:val="Normal"/>
    <w:uiPriority w:val="34"/>
    <w:qFormat/>
    <w:rsid w:val="00F31920"/>
    <w:pPr>
      <w:ind w:left="720"/>
      <w:contextualSpacing/>
    </w:pPr>
  </w:style>
  <w:style w:type="paragraph" w:styleId="Header">
    <w:name w:val="header"/>
    <w:basedOn w:val="Normal"/>
    <w:link w:val="HeaderChar"/>
    <w:uiPriority w:val="99"/>
    <w:unhideWhenUsed/>
    <w:rsid w:val="006F46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4658"/>
  </w:style>
  <w:style w:type="paragraph" w:styleId="Footer">
    <w:name w:val="footer"/>
    <w:basedOn w:val="Normal"/>
    <w:link w:val="FooterChar"/>
    <w:uiPriority w:val="99"/>
    <w:unhideWhenUsed/>
    <w:rsid w:val="006F46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658"/>
  </w:style>
  <w:style w:type="character" w:styleId="CommentReference">
    <w:name w:val="annotation reference"/>
    <w:basedOn w:val="DefaultParagraphFont"/>
    <w:uiPriority w:val="99"/>
    <w:semiHidden/>
    <w:unhideWhenUsed/>
    <w:rsid w:val="00E40749"/>
    <w:rPr>
      <w:sz w:val="16"/>
      <w:szCs w:val="16"/>
    </w:rPr>
  </w:style>
  <w:style w:type="paragraph" w:styleId="CommentText">
    <w:name w:val="annotation text"/>
    <w:basedOn w:val="Normal"/>
    <w:link w:val="CommentTextChar"/>
    <w:uiPriority w:val="99"/>
    <w:unhideWhenUsed/>
    <w:rsid w:val="00E40749"/>
    <w:pPr>
      <w:spacing w:line="240" w:lineRule="auto"/>
    </w:pPr>
    <w:rPr>
      <w:sz w:val="20"/>
      <w:szCs w:val="20"/>
    </w:rPr>
  </w:style>
  <w:style w:type="character" w:customStyle="1" w:styleId="CommentTextChar">
    <w:name w:val="Comment Text Char"/>
    <w:basedOn w:val="DefaultParagraphFont"/>
    <w:link w:val="CommentText"/>
    <w:uiPriority w:val="99"/>
    <w:rsid w:val="00E40749"/>
    <w:rPr>
      <w:sz w:val="20"/>
      <w:szCs w:val="20"/>
    </w:rPr>
  </w:style>
  <w:style w:type="paragraph" w:styleId="CommentSubject">
    <w:name w:val="annotation subject"/>
    <w:basedOn w:val="CommentText"/>
    <w:next w:val="CommentText"/>
    <w:link w:val="CommentSubjectChar"/>
    <w:uiPriority w:val="99"/>
    <w:semiHidden/>
    <w:unhideWhenUsed/>
    <w:rsid w:val="00E40749"/>
    <w:rPr>
      <w:b/>
      <w:bCs/>
    </w:rPr>
  </w:style>
  <w:style w:type="character" w:customStyle="1" w:styleId="CommentSubjectChar">
    <w:name w:val="Comment Subject Char"/>
    <w:basedOn w:val="CommentTextChar"/>
    <w:link w:val="CommentSubject"/>
    <w:uiPriority w:val="99"/>
    <w:semiHidden/>
    <w:rsid w:val="00E40749"/>
    <w:rPr>
      <w:b/>
      <w:bCs/>
      <w:sz w:val="20"/>
      <w:szCs w:val="20"/>
    </w:rPr>
  </w:style>
  <w:style w:type="character" w:styleId="Hyperlink">
    <w:name w:val="Hyperlink"/>
    <w:basedOn w:val="DefaultParagraphFont"/>
    <w:uiPriority w:val="99"/>
    <w:unhideWhenUsed/>
    <w:rsid w:val="003A12E4"/>
    <w:rPr>
      <w:color w:val="0563C1" w:themeColor="hyperlink"/>
      <w:u w:val="single"/>
    </w:rPr>
  </w:style>
  <w:style w:type="character" w:styleId="UnresolvedMention">
    <w:name w:val="Unresolved Mention"/>
    <w:basedOn w:val="DefaultParagraphFont"/>
    <w:uiPriority w:val="99"/>
    <w:semiHidden/>
    <w:unhideWhenUsed/>
    <w:rsid w:val="003A1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797617">
      <w:bodyDiv w:val="1"/>
      <w:marLeft w:val="0"/>
      <w:marRight w:val="0"/>
      <w:marTop w:val="0"/>
      <w:marBottom w:val="0"/>
      <w:divBdr>
        <w:top w:val="none" w:sz="0" w:space="0" w:color="auto"/>
        <w:left w:val="none" w:sz="0" w:space="0" w:color="auto"/>
        <w:bottom w:val="none" w:sz="0" w:space="0" w:color="auto"/>
        <w:right w:val="none" w:sz="0" w:space="0" w:color="auto"/>
      </w:divBdr>
    </w:div>
    <w:div w:id="160436645">
      <w:bodyDiv w:val="1"/>
      <w:marLeft w:val="0"/>
      <w:marRight w:val="0"/>
      <w:marTop w:val="0"/>
      <w:marBottom w:val="0"/>
      <w:divBdr>
        <w:top w:val="none" w:sz="0" w:space="0" w:color="auto"/>
        <w:left w:val="none" w:sz="0" w:space="0" w:color="auto"/>
        <w:bottom w:val="none" w:sz="0" w:space="0" w:color="auto"/>
        <w:right w:val="none" w:sz="0" w:space="0" w:color="auto"/>
      </w:divBdr>
    </w:div>
    <w:div w:id="165366080">
      <w:bodyDiv w:val="1"/>
      <w:marLeft w:val="0"/>
      <w:marRight w:val="0"/>
      <w:marTop w:val="0"/>
      <w:marBottom w:val="0"/>
      <w:divBdr>
        <w:top w:val="none" w:sz="0" w:space="0" w:color="auto"/>
        <w:left w:val="none" w:sz="0" w:space="0" w:color="auto"/>
        <w:bottom w:val="none" w:sz="0" w:space="0" w:color="auto"/>
        <w:right w:val="none" w:sz="0" w:space="0" w:color="auto"/>
      </w:divBdr>
    </w:div>
    <w:div w:id="174999355">
      <w:bodyDiv w:val="1"/>
      <w:marLeft w:val="0"/>
      <w:marRight w:val="0"/>
      <w:marTop w:val="0"/>
      <w:marBottom w:val="0"/>
      <w:divBdr>
        <w:top w:val="none" w:sz="0" w:space="0" w:color="auto"/>
        <w:left w:val="none" w:sz="0" w:space="0" w:color="auto"/>
        <w:bottom w:val="none" w:sz="0" w:space="0" w:color="auto"/>
        <w:right w:val="none" w:sz="0" w:space="0" w:color="auto"/>
      </w:divBdr>
    </w:div>
    <w:div w:id="598678572">
      <w:bodyDiv w:val="1"/>
      <w:marLeft w:val="0"/>
      <w:marRight w:val="0"/>
      <w:marTop w:val="0"/>
      <w:marBottom w:val="0"/>
      <w:divBdr>
        <w:top w:val="none" w:sz="0" w:space="0" w:color="auto"/>
        <w:left w:val="none" w:sz="0" w:space="0" w:color="auto"/>
        <w:bottom w:val="none" w:sz="0" w:space="0" w:color="auto"/>
        <w:right w:val="none" w:sz="0" w:space="0" w:color="auto"/>
      </w:divBdr>
    </w:div>
    <w:div w:id="932084981">
      <w:bodyDiv w:val="1"/>
      <w:marLeft w:val="0"/>
      <w:marRight w:val="0"/>
      <w:marTop w:val="0"/>
      <w:marBottom w:val="0"/>
      <w:divBdr>
        <w:top w:val="none" w:sz="0" w:space="0" w:color="auto"/>
        <w:left w:val="none" w:sz="0" w:space="0" w:color="auto"/>
        <w:bottom w:val="none" w:sz="0" w:space="0" w:color="auto"/>
        <w:right w:val="none" w:sz="0" w:space="0" w:color="auto"/>
      </w:divBdr>
    </w:div>
    <w:div w:id="1037313378">
      <w:bodyDiv w:val="1"/>
      <w:marLeft w:val="0"/>
      <w:marRight w:val="0"/>
      <w:marTop w:val="0"/>
      <w:marBottom w:val="0"/>
      <w:divBdr>
        <w:top w:val="none" w:sz="0" w:space="0" w:color="auto"/>
        <w:left w:val="none" w:sz="0" w:space="0" w:color="auto"/>
        <w:bottom w:val="none" w:sz="0" w:space="0" w:color="auto"/>
        <w:right w:val="none" w:sz="0" w:space="0" w:color="auto"/>
      </w:divBdr>
      <w:divsChild>
        <w:div w:id="1401368298">
          <w:marLeft w:val="0"/>
          <w:marRight w:val="0"/>
          <w:marTop w:val="0"/>
          <w:marBottom w:val="0"/>
          <w:divBdr>
            <w:top w:val="none" w:sz="0" w:space="0" w:color="auto"/>
            <w:left w:val="none" w:sz="0" w:space="0" w:color="auto"/>
            <w:bottom w:val="none" w:sz="0" w:space="0" w:color="auto"/>
            <w:right w:val="none" w:sz="0" w:space="0" w:color="auto"/>
          </w:divBdr>
        </w:div>
        <w:div w:id="1846627416">
          <w:marLeft w:val="0"/>
          <w:marRight w:val="0"/>
          <w:marTop w:val="0"/>
          <w:marBottom w:val="0"/>
          <w:divBdr>
            <w:top w:val="none" w:sz="0" w:space="0" w:color="auto"/>
            <w:left w:val="none" w:sz="0" w:space="0" w:color="auto"/>
            <w:bottom w:val="none" w:sz="0" w:space="0" w:color="auto"/>
            <w:right w:val="none" w:sz="0" w:space="0" w:color="auto"/>
          </w:divBdr>
        </w:div>
        <w:div w:id="1669402572">
          <w:marLeft w:val="0"/>
          <w:marRight w:val="0"/>
          <w:marTop w:val="0"/>
          <w:marBottom w:val="0"/>
          <w:divBdr>
            <w:top w:val="none" w:sz="0" w:space="0" w:color="auto"/>
            <w:left w:val="none" w:sz="0" w:space="0" w:color="auto"/>
            <w:bottom w:val="none" w:sz="0" w:space="0" w:color="auto"/>
            <w:right w:val="none" w:sz="0" w:space="0" w:color="auto"/>
          </w:divBdr>
        </w:div>
        <w:div w:id="487598813">
          <w:marLeft w:val="0"/>
          <w:marRight w:val="0"/>
          <w:marTop w:val="0"/>
          <w:marBottom w:val="0"/>
          <w:divBdr>
            <w:top w:val="none" w:sz="0" w:space="0" w:color="auto"/>
            <w:left w:val="none" w:sz="0" w:space="0" w:color="auto"/>
            <w:bottom w:val="none" w:sz="0" w:space="0" w:color="auto"/>
            <w:right w:val="none" w:sz="0" w:space="0" w:color="auto"/>
          </w:divBdr>
        </w:div>
        <w:div w:id="1646012177">
          <w:marLeft w:val="0"/>
          <w:marRight w:val="0"/>
          <w:marTop w:val="0"/>
          <w:marBottom w:val="0"/>
          <w:divBdr>
            <w:top w:val="none" w:sz="0" w:space="0" w:color="auto"/>
            <w:left w:val="none" w:sz="0" w:space="0" w:color="auto"/>
            <w:bottom w:val="none" w:sz="0" w:space="0" w:color="auto"/>
            <w:right w:val="none" w:sz="0" w:space="0" w:color="auto"/>
          </w:divBdr>
        </w:div>
      </w:divsChild>
    </w:div>
    <w:div w:id="1590843301">
      <w:bodyDiv w:val="1"/>
      <w:marLeft w:val="0"/>
      <w:marRight w:val="0"/>
      <w:marTop w:val="0"/>
      <w:marBottom w:val="0"/>
      <w:divBdr>
        <w:top w:val="none" w:sz="0" w:space="0" w:color="auto"/>
        <w:left w:val="none" w:sz="0" w:space="0" w:color="auto"/>
        <w:bottom w:val="none" w:sz="0" w:space="0" w:color="auto"/>
        <w:right w:val="none" w:sz="0" w:space="0" w:color="auto"/>
      </w:divBdr>
    </w:div>
    <w:div w:id="1730570804">
      <w:bodyDiv w:val="1"/>
      <w:marLeft w:val="0"/>
      <w:marRight w:val="0"/>
      <w:marTop w:val="0"/>
      <w:marBottom w:val="0"/>
      <w:divBdr>
        <w:top w:val="none" w:sz="0" w:space="0" w:color="auto"/>
        <w:left w:val="none" w:sz="0" w:space="0" w:color="auto"/>
        <w:bottom w:val="none" w:sz="0" w:space="0" w:color="auto"/>
        <w:right w:val="none" w:sz="0" w:space="0" w:color="auto"/>
      </w:divBdr>
    </w:div>
    <w:div w:id="210557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NYU Langone Health</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Bershteyn, Anna</dc:creator>
  <cp:keywords/>
  <dc:description/>
  <cp:lastModifiedBy>Yamamoto, Nao</cp:lastModifiedBy>
  <cp:revision>3</cp:revision>
  <dcterms:created xsi:type="dcterms:W3CDTF">2026-09-23T20:17:00Z</dcterms:created>
  <dcterms:modified xsi:type="dcterms:W3CDTF">2026-09-24T04:15:00Z</dcterms:modified>
</cp:coreProperties>
</file>