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081D3E" w14:textId="7DC5E65B" w:rsidR="008477CA" w:rsidRDefault="00047617" w:rsidP="00783ADC">
      <w:pPr>
        <w:spacing w:after="0" w:line="240" w:lineRule="auto"/>
        <w:rPr>
          <w:rFonts w:ascii="Calibri" w:hAnsi="Calibri" w:cs="Calibri"/>
          <w:b/>
        </w:rPr>
      </w:pPr>
      <w:r w:rsidRPr="00047617">
        <w:rPr>
          <w:rFonts w:ascii="Calibri" w:hAnsi="Calibri" w:cs="Calibri"/>
          <w:b/>
        </w:rPr>
        <w:t>"Finding the spark before the fire": modeling RTRI-guided HIV outbreak detection and partner services to accelerate epidemic control in Zambia</w:t>
      </w:r>
    </w:p>
    <w:p w14:paraId="10330299" w14:textId="77777777" w:rsidR="00047617" w:rsidRDefault="00047617" w:rsidP="00783ADC">
      <w:pPr>
        <w:spacing w:after="0" w:line="240" w:lineRule="auto"/>
        <w:rPr>
          <w:rFonts w:ascii="Calibri" w:eastAsia="Times New Roman" w:hAnsi="Calibri" w:cs="Calibri"/>
        </w:rPr>
      </w:pPr>
    </w:p>
    <w:p w14:paraId="7447BE49" w14:textId="7989B024" w:rsidR="00F31920" w:rsidRDefault="00F31920" w:rsidP="00783ADC">
      <w:pPr>
        <w:spacing w:after="0" w:line="240" w:lineRule="auto"/>
        <w:rPr>
          <w:rFonts w:ascii="Calibri" w:eastAsia="Times New Roman" w:hAnsi="Calibri" w:cs="Calibri"/>
          <w:vertAlign w:val="superscript"/>
        </w:rPr>
      </w:pPr>
      <w:r>
        <w:rPr>
          <w:rFonts w:ascii="Calibri" w:eastAsia="Times New Roman" w:hAnsi="Calibri" w:cs="Calibri"/>
        </w:rPr>
        <w:t>Nao Yamamoto</w:t>
      </w:r>
      <w:r w:rsidRPr="00F31920">
        <w:rPr>
          <w:rFonts w:ascii="Calibri" w:eastAsia="Times New Roman" w:hAnsi="Calibri" w:cs="Calibri"/>
          <w:vertAlign w:val="superscript"/>
        </w:rPr>
        <w:t>1</w:t>
      </w:r>
      <w:r>
        <w:rPr>
          <w:rFonts w:ascii="Calibri" w:eastAsia="Times New Roman" w:hAnsi="Calibri" w:cs="Calibri"/>
        </w:rPr>
        <w:t xml:space="preserve">, </w:t>
      </w:r>
      <w:r w:rsidR="003B6AA8" w:rsidRPr="003B6AA8">
        <w:rPr>
          <w:rFonts w:ascii="Calibri" w:eastAsia="Times New Roman" w:hAnsi="Calibri" w:cs="Calibri"/>
        </w:rPr>
        <w:t>Robyn M Stuart</w:t>
      </w:r>
      <w:r w:rsidR="003B6AA8">
        <w:rPr>
          <w:rFonts w:ascii="Calibri" w:eastAsia="Times New Roman" w:hAnsi="Calibri" w:cs="Calibri"/>
          <w:vertAlign w:val="superscript"/>
        </w:rPr>
        <w:t>2</w:t>
      </w:r>
      <w:r w:rsidR="003B6AA8">
        <w:rPr>
          <w:rFonts w:ascii="Calibri" w:eastAsia="Times New Roman" w:hAnsi="Calibri" w:cs="Calibri"/>
        </w:rPr>
        <w:t>, Ingrida Platais</w:t>
      </w:r>
      <w:r w:rsidR="003B6AA8" w:rsidRPr="00F31920">
        <w:rPr>
          <w:rFonts w:ascii="Calibri" w:eastAsia="Times New Roman" w:hAnsi="Calibri" w:cs="Calibri"/>
          <w:vertAlign w:val="superscript"/>
        </w:rPr>
        <w:t>1</w:t>
      </w:r>
      <w:r w:rsidR="003B6AA8">
        <w:rPr>
          <w:rFonts w:ascii="Calibri" w:eastAsia="Times New Roman" w:hAnsi="Calibri" w:cs="Calibri"/>
        </w:rPr>
        <w:t xml:space="preserve">, </w:t>
      </w:r>
      <w:r w:rsidRPr="00F31920">
        <w:rPr>
          <w:rFonts w:ascii="Calibri" w:eastAsia="Times New Roman" w:hAnsi="Calibri" w:cs="Calibri"/>
        </w:rPr>
        <w:t>Anna Bershteyn</w:t>
      </w:r>
      <w:r w:rsidRPr="00F31920">
        <w:rPr>
          <w:rFonts w:ascii="Calibri" w:eastAsia="Times New Roman" w:hAnsi="Calibri" w:cs="Calibri"/>
          <w:vertAlign w:val="superscript"/>
        </w:rPr>
        <w:t>1</w:t>
      </w:r>
    </w:p>
    <w:p w14:paraId="103DB7C5" w14:textId="77777777" w:rsidR="002C0851" w:rsidRDefault="002C0851" w:rsidP="00783ADC">
      <w:pPr>
        <w:spacing w:after="0" w:line="240" w:lineRule="auto"/>
        <w:rPr>
          <w:rFonts w:ascii="Calibri" w:eastAsia="Times New Roman" w:hAnsi="Calibri" w:cs="Calibri"/>
        </w:rPr>
      </w:pPr>
    </w:p>
    <w:p w14:paraId="39A43FBA" w14:textId="79DFBA82" w:rsidR="00F31920" w:rsidRDefault="00F31920" w:rsidP="00783ADC">
      <w:pPr>
        <w:spacing w:after="0" w:line="240" w:lineRule="auto"/>
        <w:rPr>
          <w:rFonts w:ascii="Calibri" w:eastAsia="Times New Roman" w:hAnsi="Calibri" w:cs="Calibri"/>
          <w:bCs/>
        </w:rPr>
      </w:pPr>
      <w:r w:rsidRPr="00F31920">
        <w:rPr>
          <w:rFonts w:ascii="Calibri" w:eastAsia="Times New Roman" w:hAnsi="Calibri" w:cs="Calibri"/>
          <w:bCs/>
        </w:rPr>
        <w:t>1</w:t>
      </w:r>
      <w:r>
        <w:rPr>
          <w:rFonts w:ascii="Calibri" w:eastAsia="Times New Roman" w:hAnsi="Calibri" w:cs="Calibri"/>
          <w:bCs/>
        </w:rPr>
        <w:t xml:space="preserve">. </w:t>
      </w:r>
      <w:r w:rsidRPr="00F31920">
        <w:rPr>
          <w:rFonts w:ascii="Calibri" w:eastAsia="Times New Roman" w:hAnsi="Calibri" w:cs="Calibri"/>
          <w:bCs/>
        </w:rPr>
        <w:t>Department of Population Health, New York University Grossman School of Medicine, New York, New York, USA.</w:t>
      </w:r>
    </w:p>
    <w:p w14:paraId="10CF5152" w14:textId="0C138317" w:rsidR="003B6AA8" w:rsidRDefault="003B6AA8" w:rsidP="00783ADC">
      <w:pPr>
        <w:spacing w:after="0" w:line="240" w:lineRule="auto"/>
        <w:rPr>
          <w:rFonts w:ascii="Calibri" w:eastAsia="Times New Roman" w:hAnsi="Calibri" w:cs="Calibri"/>
          <w:bCs/>
        </w:rPr>
      </w:pPr>
      <w:r>
        <w:rPr>
          <w:rFonts w:ascii="Calibri" w:eastAsia="Times New Roman" w:hAnsi="Calibri" w:cs="Calibri"/>
          <w:bCs/>
        </w:rPr>
        <w:t xml:space="preserve">2. </w:t>
      </w:r>
      <w:r w:rsidRPr="003B6AA8">
        <w:rPr>
          <w:rFonts w:ascii="Calibri" w:eastAsia="Times New Roman" w:hAnsi="Calibri" w:cs="Calibri"/>
          <w:bCs/>
        </w:rPr>
        <w:t>Institute for Disease Modeling, Global Health Division, Bill &amp; Melinda Gates Foundation, Seattle, Washington, United States of America</w:t>
      </w:r>
    </w:p>
    <w:p w14:paraId="074F76EB" w14:textId="77777777" w:rsidR="00F31920" w:rsidRDefault="00F31920" w:rsidP="00783ADC">
      <w:pPr>
        <w:spacing w:after="0" w:line="240" w:lineRule="auto"/>
        <w:rPr>
          <w:rFonts w:ascii="Calibri" w:eastAsia="Times New Roman" w:hAnsi="Calibri" w:cs="Calibri"/>
          <w:b/>
        </w:rPr>
      </w:pPr>
    </w:p>
    <w:p w14:paraId="5C4AF26C" w14:textId="009713CD" w:rsidR="00783ADC" w:rsidRDefault="006F4658" w:rsidP="00783ADC">
      <w:pPr>
        <w:spacing w:after="0" w:line="240" w:lineRule="auto"/>
        <w:rPr>
          <w:rFonts w:ascii="Calibri" w:eastAsia="Times New Roman" w:hAnsi="Calibri" w:cs="Calibri"/>
          <w:b/>
        </w:rPr>
      </w:pPr>
      <w:r>
        <w:rPr>
          <w:rFonts w:ascii="Calibri" w:eastAsia="Times New Roman" w:hAnsi="Calibri" w:cs="Calibri"/>
          <w:b/>
        </w:rPr>
        <w:t>Background</w:t>
      </w:r>
    </w:p>
    <w:p w14:paraId="126CFCDE" w14:textId="009FB337" w:rsidR="00203B0C" w:rsidRDefault="00047617" w:rsidP="000F3BE6">
      <w:pPr>
        <w:spacing w:after="0" w:line="240" w:lineRule="auto"/>
        <w:rPr>
          <w:rFonts w:ascii="Calibri" w:eastAsia="Times New Roman" w:hAnsi="Calibri" w:cs="Calibri"/>
          <w:bCs/>
        </w:rPr>
      </w:pPr>
      <w:r w:rsidRPr="00047617">
        <w:rPr>
          <w:rFonts w:ascii="Calibri" w:eastAsia="Times New Roman" w:hAnsi="Calibri" w:cs="Calibri"/>
          <w:bCs/>
        </w:rPr>
        <w:t>Ending the HIV epidemic requires identifying and interrupting chains of recent transmission before they amplify into larger outbreaks. Rapid tests for recent HIV infection (RTRI) can distinguish recent from long-standing infection and, when paired with partner notification and testing, may enable targeted outbreak detection and response. However, the population-level impact of implementing current RTRI guidelines in a generalized epidemic setting like Zambia remains uncertain.</w:t>
      </w:r>
      <w:r w:rsidRPr="00047617">
        <w:t xml:space="preserve"> </w:t>
      </w:r>
      <w:r w:rsidR="008F5AED" w:rsidRPr="008F5AED">
        <w:rPr>
          <w:rFonts w:ascii="Calibri" w:eastAsia="Times New Roman" w:hAnsi="Calibri" w:cs="Calibri"/>
          <w:bCs/>
        </w:rPr>
        <w:t>This study aimed to determine the minimum network tracing depth—in hops from an RTRI-identified index case—required to reduce HIV incidence and achieve epidemic control in Zambia, and to compare outcomes when tracing extends to 0 (no RTRI response), 1 (direct partners only), 2, or 3 hops.</w:t>
      </w:r>
    </w:p>
    <w:p w14:paraId="623C0D23" w14:textId="77777777" w:rsidR="00047617" w:rsidRPr="000F3BE6" w:rsidRDefault="00047617" w:rsidP="000F3BE6">
      <w:pPr>
        <w:spacing w:after="0" w:line="240" w:lineRule="auto"/>
        <w:rPr>
          <w:rFonts w:ascii="Calibri" w:eastAsia="Times New Roman" w:hAnsi="Calibri" w:cs="Calibri"/>
          <w:bCs/>
        </w:rPr>
      </w:pPr>
    </w:p>
    <w:p w14:paraId="0CA613A4" w14:textId="77777777" w:rsidR="000F3BE6" w:rsidRPr="00F11E53" w:rsidRDefault="000F3BE6" w:rsidP="000F3BE6">
      <w:pPr>
        <w:spacing w:after="0" w:line="240" w:lineRule="auto"/>
        <w:rPr>
          <w:rFonts w:ascii="Calibri" w:eastAsia="Times New Roman" w:hAnsi="Calibri" w:cs="Calibri"/>
          <w:b/>
        </w:rPr>
      </w:pPr>
      <w:r w:rsidRPr="00F11E53">
        <w:rPr>
          <w:rFonts w:ascii="Calibri" w:eastAsia="Times New Roman" w:hAnsi="Calibri" w:cs="Calibri"/>
          <w:b/>
        </w:rPr>
        <w:t>Methods</w:t>
      </w:r>
    </w:p>
    <w:p w14:paraId="550C17BE" w14:textId="0EC58B69" w:rsidR="00047617" w:rsidRDefault="0026608A" w:rsidP="000F3BE6">
      <w:pPr>
        <w:spacing w:after="0" w:line="240" w:lineRule="auto"/>
        <w:rPr>
          <w:rFonts w:ascii="Calibri" w:eastAsia="Times New Roman" w:hAnsi="Calibri" w:cs="Calibri"/>
          <w:bCs/>
        </w:rPr>
      </w:pPr>
      <w:r w:rsidRPr="0026608A">
        <w:rPr>
          <w:rFonts w:ascii="Calibri" w:eastAsia="Times New Roman" w:hAnsi="Calibri" w:cs="Calibri"/>
          <w:bCs/>
        </w:rPr>
        <w:t xml:space="preserve">We developed an agent-based model of HIV transmission in Zambia using the </w:t>
      </w:r>
      <w:proofErr w:type="spellStart"/>
      <w:r w:rsidRPr="0026608A">
        <w:rPr>
          <w:rFonts w:ascii="Calibri" w:eastAsia="Times New Roman" w:hAnsi="Calibri" w:cs="Calibri"/>
          <w:bCs/>
        </w:rPr>
        <w:t>STIsim</w:t>
      </w:r>
      <w:proofErr w:type="spellEnd"/>
      <w:r w:rsidRPr="0026608A">
        <w:rPr>
          <w:rFonts w:ascii="Calibri" w:eastAsia="Times New Roman" w:hAnsi="Calibri" w:cs="Calibri"/>
          <w:bCs/>
        </w:rPr>
        <w:t xml:space="preserve"> framework, with a structured sexual network representing current partnerships and a prior-partners network (3-month recall). We calibrated the model to national HIV surveillance data (1985–2022) and age- and sex-stratified prevalence from five Demographic and Health Surveys (2002–2024), varying six transmission and network parameters across </w:t>
      </w:r>
      <w:r w:rsidR="003F268E">
        <w:rPr>
          <w:rFonts w:ascii="Calibri" w:eastAsia="Times New Roman" w:hAnsi="Calibri" w:cs="Calibri"/>
          <w:bCs/>
        </w:rPr>
        <w:t xml:space="preserve">500 </w:t>
      </w:r>
      <w:r w:rsidRPr="0026608A">
        <w:rPr>
          <w:rFonts w:ascii="Calibri" w:eastAsia="Times New Roman" w:hAnsi="Calibri" w:cs="Calibri"/>
          <w:bCs/>
        </w:rPr>
        <w:t>calibration draws. Baseline HIV services included routine testing (female sex workers, general population, and people with CD4 &lt;200 cells/µL), antiretroviral therapy scale-up to 97% coverage by 2024, and pre-exposure prophylaxis. Starting in 2026, we simulated RTRI-guided outbreak response through 205</w:t>
      </w:r>
      <w:r w:rsidR="006F71FE">
        <w:rPr>
          <w:rFonts w:ascii="Calibri" w:eastAsia="Times New Roman" w:hAnsi="Calibri" w:cs="Calibri"/>
          <w:bCs/>
        </w:rPr>
        <w:t>0</w:t>
      </w:r>
      <w:r w:rsidRPr="0026608A">
        <w:rPr>
          <w:rFonts w:ascii="Calibri" w:eastAsia="Times New Roman" w:hAnsi="Calibri" w:cs="Calibri"/>
          <w:bCs/>
        </w:rPr>
        <w:t xml:space="preserve"> under tracing depths of 0–3 hops: at each hop, sexual contacts of newly identified recent infections were notified, offered HIV testing, and linked to treatment, with tracing continuing outward from newly diagnosed partners up to the specified hop limit. We compared annual HIV incidence and prevalence across tracing depths and estimated the calendar year each scenario first reached epidemic control, defined as annual incidence &lt;0.1 per 100 person-years. </w:t>
      </w:r>
    </w:p>
    <w:p w14:paraId="2F409F70" w14:textId="77777777" w:rsidR="0026608A" w:rsidRPr="000F3BE6" w:rsidRDefault="0026608A" w:rsidP="000F3BE6">
      <w:pPr>
        <w:spacing w:after="0" w:line="240" w:lineRule="auto"/>
        <w:rPr>
          <w:rFonts w:ascii="Calibri" w:eastAsia="Times New Roman" w:hAnsi="Calibri" w:cs="Calibri"/>
          <w:bCs/>
        </w:rPr>
      </w:pPr>
    </w:p>
    <w:p w14:paraId="4500AA10" w14:textId="77777777" w:rsidR="000F3BE6" w:rsidRPr="00F11E53" w:rsidRDefault="000F3BE6" w:rsidP="000F3BE6">
      <w:pPr>
        <w:spacing w:after="0" w:line="240" w:lineRule="auto"/>
        <w:rPr>
          <w:rFonts w:ascii="Calibri" w:eastAsia="Times New Roman" w:hAnsi="Calibri" w:cs="Calibri"/>
          <w:b/>
        </w:rPr>
      </w:pPr>
      <w:r w:rsidRPr="00F11E53">
        <w:rPr>
          <w:rFonts w:ascii="Calibri" w:eastAsia="Times New Roman" w:hAnsi="Calibri" w:cs="Calibri"/>
          <w:b/>
        </w:rPr>
        <w:t>Results</w:t>
      </w:r>
    </w:p>
    <w:p w14:paraId="1765EC2C" w14:textId="09938831" w:rsidR="00203B0C" w:rsidRDefault="00047617" w:rsidP="000F3BE6">
      <w:pPr>
        <w:spacing w:after="0" w:line="240" w:lineRule="auto"/>
        <w:rPr>
          <w:rFonts w:eastAsiaTheme="minorEastAsia"/>
          <w:lang w:eastAsia="ja-JP"/>
        </w:rPr>
      </w:pPr>
      <w:r w:rsidRPr="00047617">
        <w:rPr>
          <w:rFonts w:eastAsiaTheme="minorEastAsia"/>
          <w:lang w:eastAsia="ja-JP"/>
        </w:rPr>
        <w:t>The calibrated model reproduced observed HIV prevalence trends and DHS age-sex prevalence patterns</w:t>
      </w:r>
      <w:r w:rsidR="006F71FE">
        <w:rPr>
          <w:rFonts w:eastAsiaTheme="minorEastAsia"/>
          <w:lang w:eastAsia="ja-JP"/>
        </w:rPr>
        <w:t xml:space="preserve">. </w:t>
      </w:r>
      <w:r w:rsidRPr="00047617">
        <w:rPr>
          <w:rFonts w:eastAsiaTheme="minorEastAsia"/>
          <w:lang w:eastAsia="ja-JP"/>
        </w:rPr>
        <w:t>Under the baseline scenario, annual HIV incidence in 205</w:t>
      </w:r>
      <w:r w:rsidR="00932C1C">
        <w:rPr>
          <w:rFonts w:eastAsiaTheme="minorEastAsia"/>
          <w:lang w:eastAsia="ja-JP"/>
        </w:rPr>
        <w:t>0</w:t>
      </w:r>
      <w:r w:rsidRPr="00047617">
        <w:rPr>
          <w:rFonts w:eastAsiaTheme="minorEastAsia"/>
          <w:lang w:eastAsia="ja-JP"/>
        </w:rPr>
        <w:t xml:space="preserve"> was [XX.X] per 100 person-years (IQR [XX.X–XX.X]), and epidemic control was reached in [YEAR] (IQR [YEAR–YEAR]). With RTRI-guided outbreak detection and response, incidence in 205</w:t>
      </w:r>
      <w:r w:rsidR="00932C1C">
        <w:rPr>
          <w:rFonts w:eastAsiaTheme="minorEastAsia"/>
          <w:lang w:eastAsia="ja-JP"/>
        </w:rPr>
        <w:t>0</w:t>
      </w:r>
      <w:r w:rsidRPr="00047617">
        <w:rPr>
          <w:rFonts w:eastAsiaTheme="minorEastAsia"/>
          <w:lang w:eastAsia="ja-JP"/>
        </w:rPr>
        <w:t xml:space="preserve"> was [XX.X] per 100 person-years (IQR [XX.X–XX.X]), a relative reduction of [XX%] (IQR [XX–XX%]). Epidemic control occurred [N] years earlier (IQR [N–N] years), in [YEAR] (IQR [YEAR–YEAR]). </w:t>
      </w:r>
    </w:p>
    <w:p w14:paraId="59C5380D" w14:textId="77777777" w:rsidR="00047617" w:rsidRPr="000F3BE6" w:rsidRDefault="00047617" w:rsidP="000F3BE6">
      <w:pPr>
        <w:spacing w:after="0" w:line="240" w:lineRule="auto"/>
        <w:rPr>
          <w:rFonts w:ascii="Calibri" w:eastAsia="Times New Roman" w:hAnsi="Calibri" w:cs="Calibri"/>
          <w:bCs/>
        </w:rPr>
      </w:pPr>
    </w:p>
    <w:p w14:paraId="017E8DE4" w14:textId="3EDF5858" w:rsidR="000F3BE6" w:rsidRPr="00F2453B" w:rsidRDefault="000F3BE6" w:rsidP="000F3BE6">
      <w:pPr>
        <w:spacing w:after="0" w:line="240" w:lineRule="auto"/>
        <w:rPr>
          <w:rFonts w:ascii="Calibri" w:eastAsia="Times New Roman" w:hAnsi="Calibri" w:cs="Calibri"/>
          <w:b/>
        </w:rPr>
      </w:pPr>
      <w:r w:rsidRPr="00F2453B">
        <w:rPr>
          <w:rFonts w:ascii="Calibri" w:eastAsia="Times New Roman" w:hAnsi="Calibri" w:cs="Calibri"/>
          <w:b/>
        </w:rPr>
        <w:t>Conclusion</w:t>
      </w:r>
      <w:r w:rsidR="006F4658">
        <w:rPr>
          <w:rFonts w:ascii="Calibri" w:eastAsia="Times New Roman" w:hAnsi="Calibri" w:cs="Calibri"/>
          <w:b/>
        </w:rPr>
        <w:t>s</w:t>
      </w:r>
    </w:p>
    <w:p w14:paraId="4B7481CF" w14:textId="461BB736" w:rsidR="00EA6FC8" w:rsidRDefault="004A6FAB" w:rsidP="004A6FAB">
      <w:pPr>
        <w:rPr>
          <w:rFonts w:ascii="Calibri" w:eastAsia="Times New Roman" w:hAnsi="Calibri" w:cs="Calibri"/>
          <w:bCs/>
        </w:rPr>
      </w:pPr>
      <w:r w:rsidRPr="004A6FAB">
        <w:rPr>
          <w:rFonts w:ascii="Calibri" w:eastAsia="Times New Roman" w:hAnsi="Calibri" w:cs="Calibri"/>
          <w:bCs/>
        </w:rPr>
        <w:t>Implementing RTRI-guided partner tracing and testing may substantially reduce HIV incidence and accelerate progress toward epidemic control in Zambia compared with routine services alone. Most benefit was achieved within [H] network hop[s] of RTRI-identified index cases, suggesting that national RTRI guidelines should specify this tracing depth rather than leaving partner-services programs to extend contact investigation indefinitely.</w:t>
      </w:r>
    </w:p>
    <w:sectPr w:rsidR="00EA6FC8" w:rsidSect="00F5504B">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45D106" w14:textId="77777777" w:rsidR="006055EA" w:rsidRDefault="006055EA" w:rsidP="006F4658">
      <w:pPr>
        <w:spacing w:after="0" w:line="240" w:lineRule="auto"/>
      </w:pPr>
      <w:r>
        <w:separator/>
      </w:r>
    </w:p>
  </w:endnote>
  <w:endnote w:type="continuationSeparator" w:id="0">
    <w:p w14:paraId="0E159F42" w14:textId="77777777" w:rsidR="006055EA" w:rsidRDefault="006055EA" w:rsidP="006F4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7E4306" w14:textId="77777777" w:rsidR="006055EA" w:rsidRDefault="006055EA" w:rsidP="006F4658">
      <w:pPr>
        <w:spacing w:after="0" w:line="240" w:lineRule="auto"/>
      </w:pPr>
      <w:r>
        <w:separator/>
      </w:r>
    </w:p>
  </w:footnote>
  <w:footnote w:type="continuationSeparator" w:id="0">
    <w:p w14:paraId="3DD5701C" w14:textId="77777777" w:rsidR="006055EA" w:rsidRDefault="006055EA" w:rsidP="006F4658">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F24"/>
    <w:rsid w:val="000070FF"/>
    <w:rsid w:val="00031A18"/>
    <w:rsid w:val="00032B4C"/>
    <w:rsid w:val="0004037F"/>
    <w:rsid w:val="00047617"/>
    <w:rsid w:val="000642C9"/>
    <w:rsid w:val="00093F24"/>
    <w:rsid w:val="000A4AF7"/>
    <w:rsid w:val="000F3BE6"/>
    <w:rsid w:val="00134B42"/>
    <w:rsid w:val="00145057"/>
    <w:rsid w:val="0015219D"/>
    <w:rsid w:val="001708F1"/>
    <w:rsid w:val="00190739"/>
    <w:rsid w:val="001C44A2"/>
    <w:rsid w:val="00203B0C"/>
    <w:rsid w:val="002149FC"/>
    <w:rsid w:val="0025028A"/>
    <w:rsid w:val="0026608A"/>
    <w:rsid w:val="002A7D37"/>
    <w:rsid w:val="002C0851"/>
    <w:rsid w:val="00310912"/>
    <w:rsid w:val="003A0A37"/>
    <w:rsid w:val="003A12E4"/>
    <w:rsid w:val="003B6AA8"/>
    <w:rsid w:val="003C3715"/>
    <w:rsid w:val="003F268E"/>
    <w:rsid w:val="00401552"/>
    <w:rsid w:val="004238DD"/>
    <w:rsid w:val="00495C6A"/>
    <w:rsid w:val="004A209E"/>
    <w:rsid w:val="004A6FAB"/>
    <w:rsid w:val="00566889"/>
    <w:rsid w:val="006055EA"/>
    <w:rsid w:val="006661CA"/>
    <w:rsid w:val="006B50F1"/>
    <w:rsid w:val="006D0058"/>
    <w:rsid w:val="006F4658"/>
    <w:rsid w:val="006F469E"/>
    <w:rsid w:val="006F71FE"/>
    <w:rsid w:val="00783ADC"/>
    <w:rsid w:val="00786A8C"/>
    <w:rsid w:val="007D2C52"/>
    <w:rsid w:val="008132C2"/>
    <w:rsid w:val="008477CA"/>
    <w:rsid w:val="0087513C"/>
    <w:rsid w:val="00875D9B"/>
    <w:rsid w:val="008D4568"/>
    <w:rsid w:val="008D4CD0"/>
    <w:rsid w:val="008E2CB9"/>
    <w:rsid w:val="008F5AED"/>
    <w:rsid w:val="00932C1C"/>
    <w:rsid w:val="00971223"/>
    <w:rsid w:val="009F45CE"/>
    <w:rsid w:val="00A60F19"/>
    <w:rsid w:val="00AB3FAB"/>
    <w:rsid w:val="00AF0E16"/>
    <w:rsid w:val="00B1495A"/>
    <w:rsid w:val="00B70C4F"/>
    <w:rsid w:val="00BA1FA3"/>
    <w:rsid w:val="00BA7118"/>
    <w:rsid w:val="00BD483F"/>
    <w:rsid w:val="00BE2B55"/>
    <w:rsid w:val="00D44676"/>
    <w:rsid w:val="00DD170C"/>
    <w:rsid w:val="00E04170"/>
    <w:rsid w:val="00E10A78"/>
    <w:rsid w:val="00E1378E"/>
    <w:rsid w:val="00E14DA2"/>
    <w:rsid w:val="00E40749"/>
    <w:rsid w:val="00E7041D"/>
    <w:rsid w:val="00E85DEA"/>
    <w:rsid w:val="00EA6FC8"/>
    <w:rsid w:val="00F11E53"/>
    <w:rsid w:val="00F2453B"/>
    <w:rsid w:val="00F31920"/>
    <w:rsid w:val="00F46B66"/>
    <w:rsid w:val="00F5504B"/>
    <w:rsid w:val="00F917BE"/>
    <w:rsid w:val="00FF07AF"/>
    <w:rsid w:val="00FF3D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407FC"/>
  <w15:chartTrackingRefBased/>
  <w15:docId w15:val="{7FA8F264-DD02-4489-A87C-D0DCDBAE9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8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41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4170"/>
    <w:rPr>
      <w:rFonts w:ascii="Segoe UI" w:hAnsi="Segoe UI" w:cs="Segoe UI"/>
      <w:sz w:val="18"/>
      <w:szCs w:val="18"/>
    </w:rPr>
  </w:style>
  <w:style w:type="paragraph" w:styleId="Revision">
    <w:name w:val="Revision"/>
    <w:hidden/>
    <w:uiPriority w:val="99"/>
    <w:semiHidden/>
    <w:rsid w:val="008D4CD0"/>
    <w:pPr>
      <w:spacing w:after="0" w:line="240" w:lineRule="auto"/>
    </w:pPr>
  </w:style>
  <w:style w:type="paragraph" w:styleId="ListParagraph">
    <w:name w:val="List Paragraph"/>
    <w:basedOn w:val="Normal"/>
    <w:uiPriority w:val="34"/>
    <w:qFormat/>
    <w:rsid w:val="00F31920"/>
    <w:pPr>
      <w:ind w:left="720"/>
      <w:contextualSpacing/>
    </w:pPr>
  </w:style>
  <w:style w:type="paragraph" w:styleId="Header">
    <w:name w:val="header"/>
    <w:basedOn w:val="Normal"/>
    <w:link w:val="HeaderChar"/>
    <w:uiPriority w:val="99"/>
    <w:unhideWhenUsed/>
    <w:rsid w:val="006F46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4658"/>
  </w:style>
  <w:style w:type="paragraph" w:styleId="Footer">
    <w:name w:val="footer"/>
    <w:basedOn w:val="Normal"/>
    <w:link w:val="FooterChar"/>
    <w:uiPriority w:val="99"/>
    <w:unhideWhenUsed/>
    <w:rsid w:val="006F46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4658"/>
  </w:style>
  <w:style w:type="character" w:styleId="CommentReference">
    <w:name w:val="annotation reference"/>
    <w:basedOn w:val="DefaultParagraphFont"/>
    <w:uiPriority w:val="99"/>
    <w:semiHidden/>
    <w:unhideWhenUsed/>
    <w:rsid w:val="00E40749"/>
    <w:rPr>
      <w:sz w:val="16"/>
      <w:szCs w:val="16"/>
    </w:rPr>
  </w:style>
  <w:style w:type="paragraph" w:styleId="CommentText">
    <w:name w:val="annotation text"/>
    <w:basedOn w:val="Normal"/>
    <w:link w:val="CommentTextChar"/>
    <w:uiPriority w:val="99"/>
    <w:unhideWhenUsed/>
    <w:rsid w:val="00E40749"/>
    <w:pPr>
      <w:spacing w:line="240" w:lineRule="auto"/>
    </w:pPr>
    <w:rPr>
      <w:sz w:val="20"/>
      <w:szCs w:val="20"/>
    </w:rPr>
  </w:style>
  <w:style w:type="character" w:customStyle="1" w:styleId="CommentTextChar">
    <w:name w:val="Comment Text Char"/>
    <w:basedOn w:val="DefaultParagraphFont"/>
    <w:link w:val="CommentText"/>
    <w:uiPriority w:val="99"/>
    <w:rsid w:val="00E40749"/>
    <w:rPr>
      <w:sz w:val="20"/>
      <w:szCs w:val="20"/>
    </w:rPr>
  </w:style>
  <w:style w:type="paragraph" w:styleId="CommentSubject">
    <w:name w:val="annotation subject"/>
    <w:basedOn w:val="CommentText"/>
    <w:next w:val="CommentText"/>
    <w:link w:val="CommentSubjectChar"/>
    <w:uiPriority w:val="99"/>
    <w:semiHidden/>
    <w:unhideWhenUsed/>
    <w:rsid w:val="00E40749"/>
    <w:rPr>
      <w:b/>
      <w:bCs/>
    </w:rPr>
  </w:style>
  <w:style w:type="character" w:customStyle="1" w:styleId="CommentSubjectChar">
    <w:name w:val="Comment Subject Char"/>
    <w:basedOn w:val="CommentTextChar"/>
    <w:link w:val="CommentSubject"/>
    <w:uiPriority w:val="99"/>
    <w:semiHidden/>
    <w:rsid w:val="00E40749"/>
    <w:rPr>
      <w:b/>
      <w:bCs/>
      <w:sz w:val="20"/>
      <w:szCs w:val="20"/>
    </w:rPr>
  </w:style>
  <w:style w:type="character" w:styleId="Hyperlink">
    <w:name w:val="Hyperlink"/>
    <w:basedOn w:val="DefaultParagraphFont"/>
    <w:uiPriority w:val="99"/>
    <w:unhideWhenUsed/>
    <w:rsid w:val="003A12E4"/>
    <w:rPr>
      <w:color w:val="0563C1" w:themeColor="hyperlink"/>
      <w:u w:val="single"/>
    </w:rPr>
  </w:style>
  <w:style w:type="character" w:styleId="UnresolvedMention">
    <w:name w:val="Unresolved Mention"/>
    <w:basedOn w:val="DefaultParagraphFont"/>
    <w:uiPriority w:val="99"/>
    <w:semiHidden/>
    <w:unhideWhenUsed/>
    <w:rsid w:val="003A12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797617">
      <w:bodyDiv w:val="1"/>
      <w:marLeft w:val="0"/>
      <w:marRight w:val="0"/>
      <w:marTop w:val="0"/>
      <w:marBottom w:val="0"/>
      <w:divBdr>
        <w:top w:val="none" w:sz="0" w:space="0" w:color="auto"/>
        <w:left w:val="none" w:sz="0" w:space="0" w:color="auto"/>
        <w:bottom w:val="none" w:sz="0" w:space="0" w:color="auto"/>
        <w:right w:val="none" w:sz="0" w:space="0" w:color="auto"/>
      </w:divBdr>
    </w:div>
    <w:div w:id="160436645">
      <w:bodyDiv w:val="1"/>
      <w:marLeft w:val="0"/>
      <w:marRight w:val="0"/>
      <w:marTop w:val="0"/>
      <w:marBottom w:val="0"/>
      <w:divBdr>
        <w:top w:val="none" w:sz="0" w:space="0" w:color="auto"/>
        <w:left w:val="none" w:sz="0" w:space="0" w:color="auto"/>
        <w:bottom w:val="none" w:sz="0" w:space="0" w:color="auto"/>
        <w:right w:val="none" w:sz="0" w:space="0" w:color="auto"/>
      </w:divBdr>
    </w:div>
    <w:div w:id="165366080">
      <w:bodyDiv w:val="1"/>
      <w:marLeft w:val="0"/>
      <w:marRight w:val="0"/>
      <w:marTop w:val="0"/>
      <w:marBottom w:val="0"/>
      <w:divBdr>
        <w:top w:val="none" w:sz="0" w:space="0" w:color="auto"/>
        <w:left w:val="none" w:sz="0" w:space="0" w:color="auto"/>
        <w:bottom w:val="none" w:sz="0" w:space="0" w:color="auto"/>
        <w:right w:val="none" w:sz="0" w:space="0" w:color="auto"/>
      </w:divBdr>
    </w:div>
    <w:div w:id="174999355">
      <w:bodyDiv w:val="1"/>
      <w:marLeft w:val="0"/>
      <w:marRight w:val="0"/>
      <w:marTop w:val="0"/>
      <w:marBottom w:val="0"/>
      <w:divBdr>
        <w:top w:val="none" w:sz="0" w:space="0" w:color="auto"/>
        <w:left w:val="none" w:sz="0" w:space="0" w:color="auto"/>
        <w:bottom w:val="none" w:sz="0" w:space="0" w:color="auto"/>
        <w:right w:val="none" w:sz="0" w:space="0" w:color="auto"/>
      </w:divBdr>
    </w:div>
    <w:div w:id="598678572">
      <w:bodyDiv w:val="1"/>
      <w:marLeft w:val="0"/>
      <w:marRight w:val="0"/>
      <w:marTop w:val="0"/>
      <w:marBottom w:val="0"/>
      <w:divBdr>
        <w:top w:val="none" w:sz="0" w:space="0" w:color="auto"/>
        <w:left w:val="none" w:sz="0" w:space="0" w:color="auto"/>
        <w:bottom w:val="none" w:sz="0" w:space="0" w:color="auto"/>
        <w:right w:val="none" w:sz="0" w:space="0" w:color="auto"/>
      </w:divBdr>
    </w:div>
    <w:div w:id="932084981">
      <w:bodyDiv w:val="1"/>
      <w:marLeft w:val="0"/>
      <w:marRight w:val="0"/>
      <w:marTop w:val="0"/>
      <w:marBottom w:val="0"/>
      <w:divBdr>
        <w:top w:val="none" w:sz="0" w:space="0" w:color="auto"/>
        <w:left w:val="none" w:sz="0" w:space="0" w:color="auto"/>
        <w:bottom w:val="none" w:sz="0" w:space="0" w:color="auto"/>
        <w:right w:val="none" w:sz="0" w:space="0" w:color="auto"/>
      </w:divBdr>
    </w:div>
    <w:div w:id="1037313378">
      <w:bodyDiv w:val="1"/>
      <w:marLeft w:val="0"/>
      <w:marRight w:val="0"/>
      <w:marTop w:val="0"/>
      <w:marBottom w:val="0"/>
      <w:divBdr>
        <w:top w:val="none" w:sz="0" w:space="0" w:color="auto"/>
        <w:left w:val="none" w:sz="0" w:space="0" w:color="auto"/>
        <w:bottom w:val="none" w:sz="0" w:space="0" w:color="auto"/>
        <w:right w:val="none" w:sz="0" w:space="0" w:color="auto"/>
      </w:divBdr>
      <w:divsChild>
        <w:div w:id="1401368298">
          <w:marLeft w:val="0"/>
          <w:marRight w:val="0"/>
          <w:marTop w:val="0"/>
          <w:marBottom w:val="0"/>
          <w:divBdr>
            <w:top w:val="none" w:sz="0" w:space="0" w:color="auto"/>
            <w:left w:val="none" w:sz="0" w:space="0" w:color="auto"/>
            <w:bottom w:val="none" w:sz="0" w:space="0" w:color="auto"/>
            <w:right w:val="none" w:sz="0" w:space="0" w:color="auto"/>
          </w:divBdr>
        </w:div>
        <w:div w:id="1846627416">
          <w:marLeft w:val="0"/>
          <w:marRight w:val="0"/>
          <w:marTop w:val="0"/>
          <w:marBottom w:val="0"/>
          <w:divBdr>
            <w:top w:val="none" w:sz="0" w:space="0" w:color="auto"/>
            <w:left w:val="none" w:sz="0" w:space="0" w:color="auto"/>
            <w:bottom w:val="none" w:sz="0" w:space="0" w:color="auto"/>
            <w:right w:val="none" w:sz="0" w:space="0" w:color="auto"/>
          </w:divBdr>
        </w:div>
        <w:div w:id="1669402572">
          <w:marLeft w:val="0"/>
          <w:marRight w:val="0"/>
          <w:marTop w:val="0"/>
          <w:marBottom w:val="0"/>
          <w:divBdr>
            <w:top w:val="none" w:sz="0" w:space="0" w:color="auto"/>
            <w:left w:val="none" w:sz="0" w:space="0" w:color="auto"/>
            <w:bottom w:val="none" w:sz="0" w:space="0" w:color="auto"/>
            <w:right w:val="none" w:sz="0" w:space="0" w:color="auto"/>
          </w:divBdr>
        </w:div>
        <w:div w:id="487598813">
          <w:marLeft w:val="0"/>
          <w:marRight w:val="0"/>
          <w:marTop w:val="0"/>
          <w:marBottom w:val="0"/>
          <w:divBdr>
            <w:top w:val="none" w:sz="0" w:space="0" w:color="auto"/>
            <w:left w:val="none" w:sz="0" w:space="0" w:color="auto"/>
            <w:bottom w:val="none" w:sz="0" w:space="0" w:color="auto"/>
            <w:right w:val="none" w:sz="0" w:space="0" w:color="auto"/>
          </w:divBdr>
        </w:div>
        <w:div w:id="1646012177">
          <w:marLeft w:val="0"/>
          <w:marRight w:val="0"/>
          <w:marTop w:val="0"/>
          <w:marBottom w:val="0"/>
          <w:divBdr>
            <w:top w:val="none" w:sz="0" w:space="0" w:color="auto"/>
            <w:left w:val="none" w:sz="0" w:space="0" w:color="auto"/>
            <w:bottom w:val="none" w:sz="0" w:space="0" w:color="auto"/>
            <w:right w:val="none" w:sz="0" w:space="0" w:color="auto"/>
          </w:divBdr>
        </w:div>
      </w:divsChild>
    </w:div>
    <w:div w:id="1590843301">
      <w:bodyDiv w:val="1"/>
      <w:marLeft w:val="0"/>
      <w:marRight w:val="0"/>
      <w:marTop w:val="0"/>
      <w:marBottom w:val="0"/>
      <w:divBdr>
        <w:top w:val="none" w:sz="0" w:space="0" w:color="auto"/>
        <w:left w:val="none" w:sz="0" w:space="0" w:color="auto"/>
        <w:bottom w:val="none" w:sz="0" w:space="0" w:color="auto"/>
        <w:right w:val="none" w:sz="0" w:space="0" w:color="auto"/>
      </w:divBdr>
    </w:div>
    <w:div w:id="1730570804">
      <w:bodyDiv w:val="1"/>
      <w:marLeft w:val="0"/>
      <w:marRight w:val="0"/>
      <w:marTop w:val="0"/>
      <w:marBottom w:val="0"/>
      <w:divBdr>
        <w:top w:val="none" w:sz="0" w:space="0" w:color="auto"/>
        <w:left w:val="none" w:sz="0" w:space="0" w:color="auto"/>
        <w:bottom w:val="none" w:sz="0" w:space="0" w:color="auto"/>
        <w:right w:val="none" w:sz="0" w:space="0" w:color="auto"/>
      </w:divBdr>
    </w:div>
    <w:div w:id="2105572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1280</TotalTime>
  <Pages>1</Pages>
  <Words>512</Words>
  <Characters>2921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NYU Langone Health</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Bershteyn, Anna</dc:creator>
  <cp:keywords/>
  <dc:description/>
  <cp:lastModifiedBy>Yamamoto, Nao</cp:lastModifiedBy>
  <cp:revision>15</cp:revision>
  <dcterms:created xsi:type="dcterms:W3CDTF">2023-09-26T20:50:00Z</dcterms:created>
  <dcterms:modified xsi:type="dcterms:W3CDTF">2026-06-29T16:47:00Z</dcterms:modified>
</cp:coreProperties>
</file>