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F36" w:rsidRDefault="006C7B52">
      <w:pPr>
        <w:pStyle w:val="ListParagraph"/>
        <w:numPr>
          <w:ilvl w:val="0"/>
          <w:numId w:val="1"/>
        </w:numPr>
        <w:rPr>
          <w:rFonts w:cs="Times New Roman"/>
          <w:b/>
        </w:rPr>
      </w:pPr>
      <w:r>
        <w:rPr>
          <w:rFonts w:cs="Times New Roman"/>
          <w:b/>
        </w:rPr>
        <w:t>Title of the project</w:t>
      </w:r>
    </w:p>
    <w:p w:rsidR="003A4F36" w:rsidRDefault="006C7B52">
      <w:pPr>
        <w:rPr>
          <w:rFonts w:cs="Times New Roman"/>
        </w:rPr>
      </w:pPr>
      <w:r>
        <w:rPr>
          <w:b/>
        </w:rPr>
        <w:t>Agent-Based Modelling (ABM) predicts number needed to vaccinate to achieve a 50% Reduction in Zero-Dose Vaccination among Under-five Children in Kenya by 2025</w:t>
      </w:r>
    </w:p>
    <w:p w:rsidR="003A4F36" w:rsidRDefault="006C7B52">
      <w:pPr>
        <w:ind w:firstLine="630"/>
        <w:jc w:val="both"/>
        <w:rPr>
          <w:rFonts w:cs="Times New Roman"/>
          <w:vertAlign w:val="superscript"/>
        </w:rPr>
      </w:pPr>
      <w:r>
        <w:rPr>
          <w:rFonts w:cs="Times New Roman"/>
        </w:rPr>
        <w:t>Betsy C. Rono</w:t>
      </w:r>
      <w:r>
        <w:rPr>
          <w:rFonts w:cs="Times New Roman"/>
          <w:vertAlign w:val="superscript"/>
        </w:rPr>
        <w:t>1</w:t>
      </w:r>
      <w:r>
        <w:rPr>
          <w:rFonts w:cs="Times New Roman"/>
        </w:rPr>
        <w:t xml:space="preserve"> Anne Njeri</w:t>
      </w:r>
      <w:r>
        <w:rPr>
          <w:rFonts w:cs="Times New Roman"/>
          <w:vertAlign w:val="superscript"/>
        </w:rPr>
        <w:t>2</w:t>
      </w:r>
      <w:r>
        <w:rPr>
          <w:rFonts w:cs="Times New Roman"/>
        </w:rPr>
        <w:t xml:space="preserve"> Mambo Susan N</w:t>
      </w:r>
      <w:r>
        <w:rPr>
          <w:rFonts w:cs="Times New Roman"/>
          <w:vertAlign w:val="superscript"/>
        </w:rPr>
        <w:t>1</w:t>
      </w:r>
      <w:r>
        <w:rPr>
          <w:rFonts w:cs="Times New Roman"/>
        </w:rPr>
        <w:t xml:space="preserve"> Raphael O. Akangbe</w:t>
      </w:r>
      <w:r>
        <w:rPr>
          <w:rFonts w:cs="Times New Roman"/>
          <w:vertAlign w:val="superscript"/>
        </w:rPr>
        <w:t>3</w:t>
      </w:r>
    </w:p>
    <w:p w:rsidR="003A4F36" w:rsidRDefault="006C7B52">
      <w:pPr>
        <w:pStyle w:val="ListParagraph"/>
        <w:numPr>
          <w:ilvl w:val="0"/>
          <w:numId w:val="4"/>
        </w:numPr>
        <w:jc w:val="both"/>
        <w:rPr>
          <w:rFonts w:cs="Times New Roman"/>
        </w:rPr>
      </w:pPr>
      <w:r>
        <w:rPr>
          <w:rFonts w:cs="Times New Roman"/>
        </w:rPr>
        <w:t>Jomo</w:t>
      </w:r>
      <w:r>
        <w:rPr>
          <w:rFonts w:cs="Times New Roman"/>
        </w:rPr>
        <w:t xml:space="preserve"> Kenyatta University of Agriculture and Technology (JKUAT) Email: </w:t>
      </w:r>
      <w:hyperlink r:id="rId5" w:history="1">
        <w:r>
          <w:rPr>
            <w:rStyle w:val="Hyperlink"/>
            <w:rFonts w:cs="Times New Roman"/>
          </w:rPr>
          <w:t>bcheriro@jkuat.ac.ke</w:t>
        </w:r>
      </w:hyperlink>
      <w:r>
        <w:rPr>
          <w:rFonts w:cs="Times New Roman"/>
        </w:rPr>
        <w:t xml:space="preserve">; </w:t>
      </w:r>
      <w:hyperlink r:id="rId6" w:history="1">
        <w:r>
          <w:rPr>
            <w:rStyle w:val="Hyperlink"/>
            <w:rFonts w:cs="Times New Roman"/>
          </w:rPr>
          <w:t>susan.mambo@jkuat.ac.ke</w:t>
        </w:r>
      </w:hyperlink>
      <w:r>
        <w:rPr>
          <w:rFonts w:cs="Times New Roman"/>
        </w:rPr>
        <w:t xml:space="preserve"> </w:t>
      </w:r>
    </w:p>
    <w:p w:rsidR="003A4F36" w:rsidRDefault="006C7B52">
      <w:pPr>
        <w:pStyle w:val="ListParagraph"/>
        <w:numPr>
          <w:ilvl w:val="0"/>
          <w:numId w:val="4"/>
        </w:numPr>
        <w:rPr>
          <w:rFonts w:cs="Times New Roman"/>
        </w:rPr>
      </w:pPr>
      <w:r>
        <w:rPr>
          <w:rFonts w:cs="Times New Roman"/>
        </w:rPr>
        <w:t xml:space="preserve"> African Population and Health Research Center Email</w:t>
      </w:r>
      <w:r>
        <w:rPr>
          <w:rFonts w:cs="Times New Roman"/>
        </w:rPr>
        <w:t xml:space="preserve"> </w:t>
      </w:r>
      <w:hyperlink r:id="rId7" w:history="1">
        <w:r>
          <w:rPr>
            <w:rStyle w:val="Hyperlink"/>
            <w:rFonts w:cs="Times New Roman"/>
          </w:rPr>
          <w:t>anjeri@aphrc.org</w:t>
        </w:r>
      </w:hyperlink>
    </w:p>
    <w:p w:rsidR="003A4F36" w:rsidRDefault="006C7B52">
      <w:pPr>
        <w:pStyle w:val="ListParagraph"/>
        <w:numPr>
          <w:ilvl w:val="0"/>
          <w:numId w:val="4"/>
        </w:numPr>
        <w:jc w:val="both"/>
        <w:rPr>
          <w:rFonts w:cs="Times New Roman"/>
          <w:b/>
          <w:bCs/>
        </w:rPr>
      </w:pPr>
      <w:r>
        <w:rPr>
          <w:rFonts w:cs="Times New Roman"/>
        </w:rPr>
        <w:t>Lagos State Ministry of Health, Email:</w:t>
      </w:r>
      <w:r>
        <w:rPr>
          <w:rFonts w:cs="Times New Roman"/>
        </w:rPr>
        <w:t xml:space="preserve"> </w:t>
      </w:r>
      <w:r>
        <w:rPr>
          <w:rFonts w:cs="Times New Roman"/>
        </w:rPr>
        <w:t>raphelgloria@gmail.com</w:t>
      </w:r>
      <w:r>
        <w:rPr>
          <w:rFonts w:cs="Times New Roman"/>
        </w:rPr>
        <w:t>; raphael.akangbe@lagosstate.gov.ng</w:t>
      </w:r>
    </w:p>
    <w:p w:rsidR="003A4F36" w:rsidRDefault="003A4F36">
      <w:pPr>
        <w:pStyle w:val="ListParagraph"/>
        <w:ind w:left="990"/>
        <w:jc w:val="both"/>
        <w:rPr>
          <w:rFonts w:cs="Times New Roman"/>
          <w:b/>
          <w:bCs/>
        </w:rPr>
      </w:pPr>
    </w:p>
    <w:p w:rsidR="003A4F36" w:rsidRDefault="006C7B52">
      <w:pPr>
        <w:pStyle w:val="ListParagraph"/>
        <w:numPr>
          <w:ilvl w:val="0"/>
          <w:numId w:val="1"/>
        </w:numPr>
        <w:jc w:val="both"/>
        <w:rPr>
          <w:rFonts w:cs="Times New Roman"/>
          <w:b/>
          <w:bCs/>
        </w:rPr>
      </w:pPr>
      <w:r>
        <w:rPr>
          <w:rFonts w:cs="Times New Roman"/>
          <w:b/>
          <w:bCs/>
        </w:rPr>
        <w:t>Abstract</w:t>
      </w:r>
    </w:p>
    <w:p w:rsidR="003A4F36" w:rsidRDefault="006C7B52">
      <w:pPr>
        <w:jc w:val="both"/>
      </w:pPr>
      <w:r>
        <w:rPr>
          <w:b/>
          <w:bCs/>
        </w:rPr>
        <w:t>Introduction:</w:t>
      </w:r>
      <w:r>
        <w:t xml:space="preserve"> Zero-dose proportion remains a challenge in Kenya, with 7% of infants affecte</w:t>
      </w:r>
      <w:r>
        <w:t xml:space="preserve">d, according to Kenya Demographic Health Survey 2022. One in five children lack access to vaccines in </w:t>
      </w:r>
      <w:r>
        <w:rPr>
          <w:b/>
          <w:bCs/>
        </w:rPr>
        <w:t>Sub Saharan Africa</w:t>
      </w:r>
      <w:r>
        <w:t>. Globally, 14.2% are penta-zero-dose with 7.5% truly zero dose, indicating a lack of critical vaccinations among under-fives. Achieving</w:t>
      </w:r>
      <w:r>
        <w:t xml:space="preserve"> WHO global target of 90% immunization coverage is vital to prevent 2.5 million vaccine-related deaths annually, among under-fives. </w:t>
      </w:r>
    </w:p>
    <w:p w:rsidR="003A4F36" w:rsidRDefault="006C7B52">
      <w:pPr>
        <w:jc w:val="both"/>
      </w:pPr>
      <w:r>
        <w:rPr>
          <w:b/>
          <w:bCs/>
        </w:rPr>
        <w:t>Methodology:</w:t>
      </w:r>
      <w:r>
        <w:t xml:space="preserve"> Agent based modelling was employed to project the reduction needed in zero-dose vaccination rates to achieve 5</w:t>
      </w:r>
      <w:r>
        <w:t xml:space="preserve">0% decrease by 2025 in Kenya. Currently: diphtheria is eliminated; neonatal tetanus is near elimination; pertussis and measles have marked control; therefore, tetanus was adopted in the model. Agents alive and zero-dose were included in fitting the model. </w:t>
      </w:r>
      <w:r>
        <w:rPr>
          <w:b/>
          <w:i/>
        </w:rPr>
        <w:t>Starsim- SIS model</w:t>
      </w:r>
      <w:r>
        <w:t xml:space="preserve"> was employed with tetanus incidence rate of 7.8/100,000 (2019), mortality rate of 6/100,000 (2019) and under-five mortality of 41/1000 (2022). Agents were defined as under-five children, interacting with caretakers, health-worker and env</w:t>
      </w:r>
      <w:r>
        <w:t>ironment as vaccination and health facilities.</w:t>
      </w:r>
    </w:p>
    <w:p w:rsidR="003A4F36" w:rsidRDefault="006C7B52">
      <w:pPr>
        <w:jc w:val="both"/>
      </w:pPr>
      <w:r>
        <w:rPr>
          <w:b/>
          <w:bCs/>
        </w:rPr>
        <w:t>Results:</w:t>
      </w:r>
      <w:r>
        <w:t xml:space="preserve"> According to Kenya Health Information System, there were 130 tetanus cases in April 2024; approximately, 60 cases of tetanus shall be averted; if we reduce zero-dose cases by 50%; through enhanced upt</w:t>
      </w:r>
      <w:r>
        <w:t xml:space="preserve">ake of vaccinations targeting &lt;70 tetanus cases monthly; by reducing probabilities of infection from 2 to 1.3 and of susceptibility-again-state from 2 to 3 months’ post vaccination supported by </w:t>
      </w:r>
      <w:r>
        <w:rPr>
          <w:b/>
          <w:i/>
        </w:rPr>
        <w:t>SIS model</w:t>
      </w:r>
      <w:r>
        <w:t xml:space="preserve"> calibration. </w:t>
      </w:r>
    </w:p>
    <w:p w:rsidR="003A4F36" w:rsidRDefault="006C7B52">
      <w:pPr>
        <w:jc w:val="both"/>
      </w:pPr>
      <w:r>
        <w:rPr>
          <w:b/>
          <w:bCs/>
        </w:rPr>
        <w:t>Conclusion:</w:t>
      </w:r>
      <w:r>
        <w:t xml:space="preserve"> The model demonstrated tha</w:t>
      </w:r>
      <w:r>
        <w:t>t halving zero-dose vaccination reduces chance of tetanus cases and susceptibility by 2025.</w:t>
      </w:r>
    </w:p>
    <w:p w:rsidR="003A4F36" w:rsidRDefault="006C7B52">
      <w:r>
        <w:t>Key words: zero-dose vaccination, agent based modelling, under-five, childhood immunization, tetanus</w:t>
      </w:r>
    </w:p>
    <w:p w:rsidR="003A4F36" w:rsidRDefault="003A4F36">
      <w:pPr>
        <w:pStyle w:val="ListParagraph"/>
        <w:jc w:val="both"/>
        <w:rPr>
          <w:rFonts w:cs="Times New Roman"/>
          <w:b/>
          <w:bCs/>
        </w:rPr>
      </w:pPr>
    </w:p>
    <w:p w:rsidR="003A4F36" w:rsidRDefault="006C7B52">
      <w:pPr>
        <w:pStyle w:val="ListParagraph"/>
        <w:numPr>
          <w:ilvl w:val="0"/>
          <w:numId w:val="1"/>
        </w:numPr>
        <w:jc w:val="both"/>
        <w:rPr>
          <w:rFonts w:cs="Times New Roman"/>
          <w:b/>
          <w:bCs/>
        </w:rPr>
      </w:pPr>
      <w:r>
        <w:rPr>
          <w:rFonts w:cs="Times New Roman"/>
          <w:b/>
          <w:bCs/>
        </w:rPr>
        <w:t>Introduction</w:t>
      </w:r>
    </w:p>
    <w:p w:rsidR="003A4F36" w:rsidRDefault="006C7B52">
      <w:pPr>
        <w:jc w:val="both"/>
        <w:rPr>
          <w:rFonts w:cs="Times New Roman"/>
        </w:rPr>
      </w:pPr>
      <w:r>
        <w:rPr>
          <w:rFonts w:cs="Times New Roman"/>
        </w:rPr>
        <w:lastRenderedPageBreak/>
        <w:t>Globally, vaccination is the cornerstone and a pu</w:t>
      </w:r>
      <w:r>
        <w:rPr>
          <w:rFonts w:cs="Times New Roman"/>
        </w:rPr>
        <w:t>blic health concern in the control of communicable diseases (WHO,2020). According to the WHO immunization goal; ninety (90%) of the children should be immunized (Cata-preta, 2021). Vaccination prevents 2.5 million deaths among the under-fives (U5) annually</w:t>
      </w:r>
      <w:r>
        <w:rPr>
          <w:rFonts w:cs="Times New Roman"/>
        </w:rPr>
        <w:t>. One in five (1 in 5) children lacks access to vaccines in Sub-Saharan Africa (Ozigbu, 2022). Zero dose vaccination (ZD) refers to the lack of the first (1</w:t>
      </w:r>
      <w:r>
        <w:rPr>
          <w:rFonts w:cs="Times New Roman"/>
          <w:vertAlign w:val="superscript"/>
        </w:rPr>
        <w:t>st</w:t>
      </w:r>
      <w:r>
        <w:rPr>
          <w:rFonts w:cs="Times New Roman"/>
        </w:rPr>
        <w:t>) dose of diphtheria-tetanus-pertussis containing vaccine (DTP1) or the penta-dose that is DPT+ Hi</w:t>
      </w:r>
      <w:r>
        <w:rPr>
          <w:rFonts w:cs="Times New Roman"/>
        </w:rPr>
        <w:t>B &amp; Hep B. Zero-dose is a global indicator among the under-fives. Zero-dose children remain a key objective and heart of the Immunization Agenda 2030 (IA2030) embedded in the strategy.</w:t>
      </w:r>
    </w:p>
    <w:p w:rsidR="003A4F36" w:rsidRDefault="006C7B52">
      <w:pPr>
        <w:jc w:val="both"/>
        <w:rPr>
          <w:rFonts w:cs="Times New Roman"/>
          <w:b/>
        </w:rPr>
      </w:pPr>
      <w:r>
        <w:rPr>
          <w:rFonts w:cs="Times New Roman"/>
          <w:b/>
        </w:rPr>
        <w:t xml:space="preserve">Statement of the problem </w:t>
      </w:r>
    </w:p>
    <w:p w:rsidR="003A4F36" w:rsidRDefault="006C7B52">
      <w:pPr>
        <w:jc w:val="both"/>
        <w:rPr>
          <w:rFonts w:cs="Times New Roman"/>
        </w:rPr>
      </w:pPr>
      <w:r>
        <w:rPr>
          <w:rFonts w:cs="Times New Roman"/>
        </w:rPr>
        <w:t>Globally, 14.2% under-five children are penta</w:t>
      </w:r>
      <w:r>
        <w:rPr>
          <w:rFonts w:cs="Times New Roman"/>
        </w:rPr>
        <w:t>-zero dose, and 7.5% are truly zero dose (Chizoba, 2023). Globally, tetanus morbidity remains at 50,000 with an attributable mortality of 34,684 cases annually. In, Africa the tetanus incidence is 23,052 (World data, 2019)</w:t>
      </w:r>
    </w:p>
    <w:p w:rsidR="003A4F36" w:rsidRDefault="006C7B52">
      <w:pPr>
        <w:jc w:val="both"/>
        <w:rPr>
          <w:rFonts w:cs="Times New Roman"/>
        </w:rPr>
      </w:pPr>
      <w:r>
        <w:rPr>
          <w:rFonts w:cs="Times New Roman"/>
        </w:rPr>
        <w:t xml:space="preserve">In Sub Saharan Africa (SSA). The </w:t>
      </w:r>
      <w:r>
        <w:rPr>
          <w:rFonts w:cs="Times New Roman"/>
        </w:rPr>
        <w:t xml:space="preserve">ZD remains at 7.7%, one vaccine-3.3%, two vaccines - 3.4%, three vaccines-14.6%, four vaccines- 70.9%, 59.9%- fully immunized (World Bank report 2022). </w:t>
      </w:r>
    </w:p>
    <w:p w:rsidR="003A4F36" w:rsidRDefault="006C7B52">
      <w:pPr>
        <w:jc w:val="both"/>
        <w:rPr>
          <w:rFonts w:cs="Times New Roman"/>
        </w:rPr>
      </w:pPr>
      <w:r>
        <w:rPr>
          <w:rFonts w:cs="Times New Roman"/>
        </w:rPr>
        <w:t>In Kenya ZD currently stands at 7%, indicating that seven (7) in 100 children under 1 year of age are Z</w:t>
      </w:r>
      <w:r>
        <w:rPr>
          <w:rFonts w:cs="Times New Roman"/>
        </w:rPr>
        <w:t>D (KDHS,2022). Efforts are in place to improve the vaccination rate, but there remain access challenges in reaching all children essential vaccines from birth.</w:t>
      </w:r>
    </w:p>
    <w:p w:rsidR="003A4F36" w:rsidRDefault="006C7B52">
      <w:pPr>
        <w:jc w:val="both"/>
        <w:rPr>
          <w:rFonts w:cs="Times New Roman"/>
        </w:rPr>
      </w:pPr>
      <w:r>
        <w:rPr>
          <w:rFonts w:cs="Times New Roman"/>
        </w:rPr>
        <w:t>Currently the updates indicate that diphtheria and neonatal tetanus have been eliminated and per</w:t>
      </w:r>
      <w:r>
        <w:rPr>
          <w:rFonts w:cs="Times New Roman"/>
        </w:rPr>
        <w:t>tussis is near elimination. There is also a marked control for the  measles disease. This therefore leaves tetanus as an indicator of DPT, being the only disease yet to be eliminated or controlled among the DPT vaccination bracket (Our world in data 2019).</w:t>
      </w:r>
      <w:r>
        <w:t xml:space="preserve"> </w:t>
      </w:r>
      <w:r>
        <w:rPr>
          <w:rFonts w:cs="Times New Roman"/>
        </w:rPr>
        <w:t xml:space="preserve">Globally approx.- 50,000 cases </w:t>
      </w:r>
    </w:p>
    <w:p w:rsidR="003A4F36" w:rsidRDefault="006C7B52">
      <w:pPr>
        <w:jc w:val="both"/>
        <w:rPr>
          <w:rFonts w:cs="Times New Roman"/>
        </w:rPr>
      </w:pPr>
      <w:r>
        <w:rPr>
          <w:rFonts w:cs="Times New Roman"/>
        </w:rPr>
        <w:t xml:space="preserve">Tetanus cases in Kenya are currently 3338 as at 2019 and the targeted reduction of 50% means an approximate reduction to 1670 cases annually. Mortality due to tetanus stands at 2348 as at 2019 with an incidence rate of </w:t>
      </w:r>
      <w:r>
        <w:rPr>
          <w:rFonts w:cs="Times New Roman"/>
        </w:rPr>
        <w:t>7.8/100,000 and a mortality rate of 6/100,000 (World data 2019, KDHS, 2022)</w:t>
      </w:r>
    </w:p>
    <w:p w:rsidR="003A4F36" w:rsidRDefault="006C7B52">
      <w:pPr>
        <w:jc w:val="both"/>
        <w:rPr>
          <w:rFonts w:cs="Times New Roman"/>
        </w:rPr>
      </w:pPr>
      <w:r>
        <w:rPr>
          <w:rFonts w:cs="Times New Roman"/>
        </w:rPr>
        <w:t>For the purpose of this ZD project; tetanus shall be employed as an indicator for zero-dose. In Kenya, infant mortality rate (IMR) currently stands at 31.771/1000 live births (Worl</w:t>
      </w:r>
      <w:r>
        <w:rPr>
          <w:rFonts w:cs="Times New Roman"/>
        </w:rPr>
        <w:t xml:space="preserve">d data, 2019) and 41/1000lb for the under-five (U5) mortality rate. </w:t>
      </w:r>
    </w:p>
    <w:p w:rsidR="003A4F36" w:rsidRDefault="006C7B52">
      <w:pPr>
        <w:jc w:val="both"/>
        <w:rPr>
          <w:rFonts w:cs="Times New Roman"/>
          <w:b/>
        </w:rPr>
      </w:pPr>
      <w:r>
        <w:rPr>
          <w:rFonts w:cs="Times New Roman"/>
          <w:b/>
        </w:rPr>
        <w:t>Objectives of the project.</w:t>
      </w:r>
    </w:p>
    <w:p w:rsidR="003A4F36" w:rsidRDefault="006C7B52">
      <w:pPr>
        <w:jc w:val="both"/>
        <w:rPr>
          <w:rFonts w:cs="Times New Roman"/>
        </w:rPr>
      </w:pPr>
      <w:r>
        <w:rPr>
          <w:rFonts w:cs="Times New Roman"/>
        </w:rPr>
        <w:t>To determine number of tetanus cases that will be averted by reducing the prevalence of zero pentadose vaccination by 50% among under-fives by the year 2025.</w:t>
      </w:r>
    </w:p>
    <w:p w:rsidR="003A4F36" w:rsidRDefault="006C7B52">
      <w:pPr>
        <w:jc w:val="both"/>
        <w:rPr>
          <w:rFonts w:cs="Times New Roman"/>
        </w:rPr>
      </w:pPr>
      <w:r>
        <w:rPr>
          <w:rFonts w:cs="Times New Roman"/>
          <w:b/>
        </w:rPr>
        <w:t>Research question</w:t>
      </w:r>
      <w:r>
        <w:rPr>
          <w:rFonts w:cs="Times New Roman"/>
        </w:rPr>
        <w:t>: How many tetanus cases will be averted if we reduce prevalence of zero dose vaccination by 50% among under-fives by the year 2025?</w:t>
      </w:r>
    </w:p>
    <w:p w:rsidR="003A4F36" w:rsidRDefault="006C7B52">
      <w:pPr>
        <w:pStyle w:val="ListParagraph"/>
        <w:numPr>
          <w:ilvl w:val="0"/>
          <w:numId w:val="1"/>
        </w:numPr>
        <w:jc w:val="both"/>
        <w:rPr>
          <w:rFonts w:cs="Times New Roman"/>
          <w:b/>
          <w:bCs/>
        </w:rPr>
      </w:pPr>
      <w:r>
        <w:rPr>
          <w:rFonts w:cs="Times New Roman"/>
          <w:b/>
          <w:bCs/>
        </w:rPr>
        <w:lastRenderedPageBreak/>
        <w:t>Methodology</w:t>
      </w:r>
    </w:p>
    <w:p w:rsidR="003A4F36" w:rsidRDefault="006C7B52">
      <w:pPr>
        <w:jc w:val="both"/>
        <w:rPr>
          <w:rFonts w:cs="Times New Roman"/>
        </w:rPr>
      </w:pPr>
      <w:r>
        <w:rPr>
          <w:rFonts w:cs="Times New Roman"/>
        </w:rPr>
        <w:t xml:space="preserve">The authors underwent a thorough training on agent based modelling and thereafter embarked on </w:t>
      </w:r>
      <w:r>
        <w:rPr>
          <w:rFonts w:cs="Times New Roman"/>
        </w:rPr>
        <w:t>a zero dose vaccination model in Kenya.</w:t>
      </w:r>
    </w:p>
    <w:p w:rsidR="003A4F36" w:rsidRDefault="006C7B52">
      <w:pPr>
        <w:jc w:val="both"/>
        <w:rPr>
          <w:rFonts w:cs="Times New Roman"/>
        </w:rPr>
      </w:pPr>
      <w:r>
        <w:rPr>
          <w:rFonts w:cs="Times New Roman"/>
        </w:rPr>
        <w:t>The project targeted the Under-five children in Kenya, who live in the LMICs, specifically in Kenya. The main aim of the was to determine the number needed to vaccinate to achieve a 50% reduction in zero dose vaccina</w:t>
      </w:r>
      <w:r>
        <w:rPr>
          <w:rFonts w:cs="Times New Roman"/>
        </w:rPr>
        <w:t>tion rates by 2025.</w:t>
      </w:r>
    </w:p>
    <w:p w:rsidR="003A4F36" w:rsidRDefault="006C7B52">
      <w:pPr>
        <w:jc w:val="both"/>
        <w:rPr>
          <w:rFonts w:cs="Times New Roman"/>
        </w:rPr>
      </w:pPr>
      <w:r>
        <w:rPr>
          <w:rFonts w:cs="Times New Roman"/>
        </w:rPr>
        <w:t>The outcome of interest being to reduce under-five morbidity and mortality rates through increased vaccination coverage by the year 2025. The project applied the Starsim - SIS model structure, with the agent being the under-five child w</w:t>
      </w:r>
      <w:r>
        <w:rPr>
          <w:rFonts w:cs="Times New Roman"/>
        </w:rPr>
        <w:t>ho missed their first diphtheria, pertussis and tetanus vaccine here to referred as DPT 1. The perceived interaction are the under-five children caretakers, mother, guardian and the health care workers. The environment included in the project was the vacci</w:t>
      </w:r>
      <w:r>
        <w:rPr>
          <w:rFonts w:cs="Times New Roman"/>
        </w:rPr>
        <w:t xml:space="preserve">nation, the health facility and exposure to rusted metals or soil. </w:t>
      </w:r>
    </w:p>
    <w:p w:rsidR="003A4F36" w:rsidRDefault="006C7B52">
      <w:pPr>
        <w:jc w:val="both"/>
        <w:rPr>
          <w:rFonts w:cs="Times New Roman"/>
        </w:rPr>
      </w:pPr>
      <w:r>
        <w:rPr>
          <w:rFonts w:cs="Times New Roman"/>
        </w:rPr>
        <w:t>The inclusion and exclusion criteria is demonstrated in the flow chart below.</w:t>
      </w:r>
    </w:p>
    <w:p w:rsidR="003A4F36" w:rsidRDefault="003A4F36">
      <w:pPr>
        <w:jc w:val="both"/>
        <w:rPr>
          <w:rFonts w:cs="Times New Roman"/>
          <w:noProof/>
        </w:rPr>
      </w:pPr>
    </w:p>
    <w:p w:rsidR="003A4F36" w:rsidRDefault="003A4F36">
      <w:pPr>
        <w:jc w:val="both"/>
        <w:rPr>
          <w:rFonts w:cs="Times New Roman"/>
        </w:rPr>
      </w:pPr>
    </w:p>
    <w:p w:rsidR="003A4F36" w:rsidRDefault="006C7B52">
      <w:pPr>
        <w:jc w:val="both"/>
        <w:rPr>
          <w:rFonts w:cs="Times New Roman"/>
        </w:rPr>
      </w:pPr>
      <w:r>
        <w:rPr>
          <w:rFonts w:cs="Times New Roman"/>
          <w:noProof/>
        </w:rPr>
        <w:drawing>
          <wp:inline distT="0" distB="0" distL="0" distR="0">
            <wp:extent cx="5800725" cy="4045061"/>
            <wp:effectExtent l="0" t="0" r="9525"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5800725" cy="4045061"/>
                    </a:xfrm>
                    <a:prstGeom prst="rect">
                      <a:avLst/>
                    </a:prstGeom>
                  </pic:spPr>
                </pic:pic>
              </a:graphicData>
            </a:graphic>
          </wp:inline>
        </w:drawing>
      </w:r>
    </w:p>
    <w:p w:rsidR="003A4F36" w:rsidRDefault="006C7B52">
      <w:pPr>
        <w:pStyle w:val="ListParagraph"/>
        <w:numPr>
          <w:ilvl w:val="0"/>
          <w:numId w:val="1"/>
        </w:numPr>
        <w:jc w:val="both"/>
        <w:rPr>
          <w:rFonts w:cs="Times New Roman"/>
          <w:b/>
          <w:bCs/>
        </w:rPr>
      </w:pPr>
      <w:r>
        <w:rPr>
          <w:rFonts w:cs="Times New Roman"/>
          <w:b/>
          <w:bCs/>
        </w:rPr>
        <w:t>Results</w:t>
      </w:r>
    </w:p>
    <w:p w:rsidR="003A4F36" w:rsidRDefault="006C7B52">
      <w:pPr>
        <w:jc w:val="both"/>
        <w:rPr>
          <w:rFonts w:cs="Times New Roman"/>
        </w:rPr>
      </w:pPr>
      <w:r>
        <w:rPr>
          <w:rFonts w:cs="Times New Roman"/>
        </w:rPr>
        <w:t>The tables below demonstrate the pneumonia, measles and tetanus cases from 2021-2024</w:t>
      </w:r>
    </w:p>
    <w:p w:rsidR="003A4F36" w:rsidRDefault="006C7B52">
      <w:pPr>
        <w:jc w:val="both"/>
        <w:rPr>
          <w:rFonts w:cs="Times New Roman"/>
        </w:rPr>
      </w:pPr>
      <w:r>
        <w:rPr>
          <w:noProof/>
        </w:rPr>
        <w:lastRenderedPageBreak/>
        <w:drawing>
          <wp:inline distT="0" distB="0" distL="0" distR="0">
            <wp:extent cx="5010785" cy="2850078"/>
            <wp:effectExtent l="0" t="0" r="0" b="7620"/>
            <wp:docPr id="102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9" cstate="print"/>
                    <a:srcRect/>
                    <a:stretch/>
                  </pic:blipFill>
                  <pic:spPr>
                    <a:xfrm>
                      <a:off x="0" y="0"/>
                      <a:ext cx="5010785" cy="2850078"/>
                    </a:xfrm>
                    <a:prstGeom prst="rect">
                      <a:avLst/>
                    </a:prstGeom>
                  </pic:spPr>
                </pic:pic>
              </a:graphicData>
            </a:graphic>
          </wp:inline>
        </w:drawing>
      </w:r>
    </w:p>
    <w:p w:rsidR="00341016" w:rsidRDefault="006C7B52">
      <w:pPr>
        <w:rPr>
          <w:noProof/>
        </w:rPr>
      </w:pPr>
      <w:r>
        <w:rPr>
          <w:rFonts w:cs="Times New Roman"/>
        </w:rPr>
        <w:t>There was a</w:t>
      </w:r>
      <w:r>
        <w:rPr>
          <w:rFonts w:cs="Times New Roman"/>
        </w:rPr>
        <w:t>n average of about 8000 cases of severe pneumonia monthly.</w:t>
      </w:r>
      <w:r>
        <w:rPr>
          <w:noProof/>
        </w:rPr>
        <w:t xml:space="preserve"> </w:t>
      </w:r>
    </w:p>
    <w:p w:rsidR="00341016" w:rsidRDefault="00341016">
      <w:pPr>
        <w:rPr>
          <w:noProof/>
        </w:rPr>
      </w:pPr>
    </w:p>
    <w:p w:rsidR="00341016" w:rsidRDefault="00341016">
      <w:pPr>
        <w:rPr>
          <w:noProof/>
        </w:rPr>
      </w:pPr>
      <w:r>
        <w:rPr>
          <w:noProof/>
        </w:rPr>
        <w:drawing>
          <wp:inline distT="0" distB="0" distL="0" distR="0" wp14:anchorId="5334E92B">
            <wp:extent cx="5175885" cy="30302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5885" cy="3030220"/>
                    </a:xfrm>
                    <a:prstGeom prst="rect">
                      <a:avLst/>
                    </a:prstGeom>
                    <a:noFill/>
                  </pic:spPr>
                </pic:pic>
              </a:graphicData>
            </a:graphic>
          </wp:inline>
        </w:drawing>
      </w:r>
    </w:p>
    <w:p w:rsidR="00341016" w:rsidRDefault="00341016">
      <w:pPr>
        <w:rPr>
          <w:noProof/>
        </w:rPr>
      </w:pPr>
      <w:r>
        <w:rPr>
          <w:noProof/>
        </w:rPr>
        <w:t>There was an average of approximately 600 measles cases monthly with exception of end of 2020 and mid 2022 that over 1000 cases.</w:t>
      </w:r>
    </w:p>
    <w:p w:rsidR="003A4F36" w:rsidRDefault="006C7B52">
      <w:pPr>
        <w:rPr>
          <w:noProof/>
        </w:rPr>
      </w:pPr>
      <w:r>
        <w:rPr>
          <w:noProof/>
        </w:rPr>
        <w:lastRenderedPageBreak/>
        <w:drawing>
          <wp:inline distT="0" distB="0" distL="0" distR="0">
            <wp:extent cx="4962917" cy="3395345"/>
            <wp:effectExtent l="0" t="0" r="9525" b="0"/>
            <wp:docPr id="102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8"/>
                    <pic:cNvPicPr/>
                  </pic:nvPicPr>
                  <pic:blipFill>
                    <a:blip r:embed="rId11" cstate="print"/>
                    <a:srcRect/>
                    <a:stretch/>
                  </pic:blipFill>
                  <pic:spPr>
                    <a:xfrm>
                      <a:off x="0" y="0"/>
                      <a:ext cx="4962917" cy="3395345"/>
                    </a:xfrm>
                    <a:prstGeom prst="rect">
                      <a:avLst/>
                    </a:prstGeom>
                  </pic:spPr>
                </pic:pic>
              </a:graphicData>
            </a:graphic>
          </wp:inline>
        </w:drawing>
      </w:r>
    </w:p>
    <w:p w:rsidR="003A4F36" w:rsidRDefault="00ED3FFB">
      <w:pPr>
        <w:rPr>
          <w:rFonts w:cs="Times New Roman"/>
        </w:rPr>
      </w:pPr>
      <w:r>
        <w:rPr>
          <w:rFonts w:cs="Times New Roman"/>
        </w:rPr>
        <w:t xml:space="preserve"> </w:t>
      </w:r>
      <w:r w:rsidR="006C7B52">
        <w:rPr>
          <w:rFonts w:cs="Times New Roman"/>
        </w:rPr>
        <w:t xml:space="preserve">The government of Kenya was able to maintain tetanus cases at approximately 1000 monthly with exceptions of the year 2020 and 2022. </w:t>
      </w:r>
    </w:p>
    <w:p w:rsidR="003A4F36" w:rsidRDefault="006C7B52">
      <w:pPr>
        <w:jc w:val="both"/>
        <w:rPr>
          <w:rFonts w:cs="Times New Roman"/>
          <w:b/>
        </w:rPr>
      </w:pPr>
      <w:r>
        <w:rPr>
          <w:rFonts w:cs="Times New Roman"/>
        </w:rPr>
        <w:t xml:space="preserve">This was </w:t>
      </w:r>
      <w:r>
        <w:rPr>
          <w:rFonts w:cs="Times New Roman"/>
          <w:b/>
        </w:rPr>
        <w:t>an ABM structure starsim with susceptibilit</w:t>
      </w:r>
      <w:r>
        <w:rPr>
          <w:rFonts w:cs="Times New Roman"/>
          <w:b/>
        </w:rPr>
        <w:t>y immunization and being susceptible again (SIS) model.</w:t>
      </w:r>
    </w:p>
    <w:p w:rsidR="003A4F36" w:rsidRDefault="006C7B52">
      <w:pPr>
        <w:jc w:val="both"/>
        <w:rPr>
          <w:rFonts w:cs="Times New Roman"/>
        </w:rPr>
      </w:pPr>
      <w:r>
        <w:rPr>
          <w:rFonts w:cs="Times New Roman"/>
        </w:rPr>
        <w:t>The model was fitted with a Tetanus Beta=1.3, gamma =3/12, waning=0.055. The intervention applied was vaccination with a probability =0.25, efficacy=0.9 (vaccine to produce immunity). Tetanus cases av</w:t>
      </w:r>
      <w:r>
        <w:rPr>
          <w:rFonts w:cs="Times New Roman"/>
        </w:rPr>
        <w:t>erted by 50% approximate =75 cases/month</w:t>
      </w: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3A4F36">
      <w:pPr>
        <w:rPr>
          <w:rFonts w:cs="Times New Roman"/>
        </w:rPr>
      </w:pPr>
    </w:p>
    <w:p w:rsidR="003A4F36" w:rsidRDefault="006C7B52">
      <w:pPr>
        <w:rPr>
          <w:rFonts w:cs="Times New Roman"/>
        </w:rPr>
      </w:pPr>
      <w:r>
        <w:rPr>
          <w:rFonts w:cs="Times New Roman"/>
          <w:b/>
          <w:bCs/>
        </w:rPr>
        <w:lastRenderedPageBreak/>
        <w:t>Model before calibration</w:t>
      </w:r>
      <w:r>
        <w:rPr>
          <w:rFonts w:cs="Times New Roman"/>
          <w:noProof/>
        </w:rPr>
        <w:drawing>
          <wp:inline distT="0" distB="0" distL="0" distR="0">
            <wp:extent cx="4928260" cy="3596640"/>
            <wp:effectExtent l="0" t="0" r="5715" b="3810"/>
            <wp:docPr id="103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2" cstate="print"/>
                    <a:srcRect/>
                    <a:stretch/>
                  </pic:blipFill>
                  <pic:spPr>
                    <a:xfrm>
                      <a:off x="0" y="0"/>
                      <a:ext cx="4928260" cy="3596640"/>
                    </a:xfrm>
                    <a:prstGeom prst="rect">
                      <a:avLst/>
                    </a:prstGeom>
                  </pic:spPr>
                </pic:pic>
              </a:graphicData>
            </a:graphic>
          </wp:inline>
        </w:drawing>
      </w:r>
    </w:p>
    <w:p w:rsidR="003A4F36" w:rsidRDefault="006C7B52">
      <w:pPr>
        <w:jc w:val="both"/>
        <w:rPr>
          <w:rFonts w:cs="Times New Roman"/>
          <w:b/>
          <w:bCs/>
        </w:rPr>
      </w:pPr>
      <w:r>
        <w:rPr>
          <w:rFonts w:cs="Times New Roman"/>
          <w:b/>
          <w:bCs/>
        </w:rPr>
        <w:t xml:space="preserve">Model after calibration </w:t>
      </w:r>
    </w:p>
    <w:p w:rsidR="003A4F36" w:rsidRDefault="006C7B52">
      <w:pPr>
        <w:jc w:val="both"/>
        <w:rPr>
          <w:rFonts w:cs="Times New Roman"/>
        </w:rPr>
      </w:pPr>
      <w:r>
        <w:rPr>
          <w:noProof/>
        </w:rPr>
        <w:drawing>
          <wp:inline distT="0" distB="0" distL="0" distR="0">
            <wp:extent cx="4958854" cy="3596030"/>
            <wp:effectExtent l="0" t="0" r="0" b="4445"/>
            <wp:docPr id="103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3" cstate="print"/>
                    <a:srcRect/>
                    <a:stretch/>
                  </pic:blipFill>
                  <pic:spPr>
                    <a:xfrm>
                      <a:off x="0" y="0"/>
                      <a:ext cx="4958854" cy="3596030"/>
                    </a:xfrm>
                    <a:prstGeom prst="rect">
                      <a:avLst/>
                    </a:prstGeom>
                  </pic:spPr>
                </pic:pic>
              </a:graphicData>
            </a:graphic>
          </wp:inline>
        </w:drawing>
      </w:r>
    </w:p>
    <w:p w:rsidR="003A4F36" w:rsidRDefault="006C7B52">
      <w:pPr>
        <w:pStyle w:val="ListParagraph"/>
        <w:numPr>
          <w:ilvl w:val="0"/>
          <w:numId w:val="1"/>
        </w:numPr>
        <w:jc w:val="both"/>
        <w:rPr>
          <w:rFonts w:cs="Times New Roman"/>
          <w:b/>
          <w:bCs/>
        </w:rPr>
      </w:pPr>
      <w:r>
        <w:rPr>
          <w:rFonts w:cs="Times New Roman"/>
          <w:b/>
          <w:bCs/>
        </w:rPr>
        <w:t>Discussion</w:t>
      </w:r>
    </w:p>
    <w:p w:rsidR="003A4F36" w:rsidRDefault="006C7B52">
      <w:pPr>
        <w:rPr>
          <w:rFonts w:cs="Times New Roman"/>
        </w:rPr>
      </w:pPr>
      <w:r>
        <w:rPr>
          <w:rFonts w:cs="Times New Roman"/>
        </w:rPr>
        <w:t>The project proposed to achieve the 50% reduction in zero dose vaccination rates through introduction of vaccine campaigns. However,</w:t>
      </w:r>
      <w:r>
        <w:rPr>
          <w:rFonts w:cs="Times New Roman"/>
        </w:rPr>
        <w:t xml:space="preserve"> there was heterogeneity among the under-five children in Kenya. Equity in accessing vaccination remains a </w:t>
      </w:r>
      <w:r>
        <w:rPr>
          <w:rFonts w:cs="Times New Roman"/>
        </w:rPr>
        <w:lastRenderedPageBreak/>
        <w:t xml:space="preserve">challenge especially DPT 1. </w:t>
      </w:r>
      <w:r>
        <w:rPr>
          <w:rFonts w:cs="Times New Roman"/>
        </w:rPr>
        <w:br/>
      </w:r>
    </w:p>
    <w:p w:rsidR="003A4F36" w:rsidRDefault="006C7B52">
      <w:pPr>
        <w:pStyle w:val="ListParagraph"/>
        <w:numPr>
          <w:ilvl w:val="0"/>
          <w:numId w:val="1"/>
        </w:numPr>
        <w:jc w:val="both"/>
        <w:rPr>
          <w:rFonts w:cs="Times New Roman"/>
          <w:b/>
          <w:bCs/>
        </w:rPr>
      </w:pPr>
      <w:r>
        <w:rPr>
          <w:rFonts w:cs="Times New Roman"/>
          <w:b/>
          <w:bCs/>
        </w:rPr>
        <w:t>Conclusion</w:t>
      </w:r>
    </w:p>
    <w:p w:rsidR="003A4F36" w:rsidRDefault="006C7B52">
      <w:pPr>
        <w:jc w:val="both"/>
        <w:rPr>
          <w:rFonts w:cs="Times New Roman"/>
          <w:b/>
          <w:bCs/>
        </w:rPr>
      </w:pPr>
      <w:r>
        <w:t>The model demonstrated that halving zero-dose vaccination cases from 3338 to 1670 will lead to a reduction i</w:t>
      </w:r>
      <w:r>
        <w:t>n tetanus cases from 130 to 65 and susceptibility by 2025.</w:t>
      </w:r>
    </w:p>
    <w:p w:rsidR="003A4F36" w:rsidRDefault="006C7B52">
      <w:pPr>
        <w:pStyle w:val="ListParagraph"/>
        <w:numPr>
          <w:ilvl w:val="0"/>
          <w:numId w:val="1"/>
        </w:numPr>
        <w:jc w:val="both"/>
        <w:rPr>
          <w:rFonts w:cs="Times New Roman"/>
        </w:rPr>
      </w:pPr>
      <w:r>
        <w:rPr>
          <w:rFonts w:cs="Times New Roman"/>
          <w:b/>
          <w:bCs/>
        </w:rPr>
        <w:t>References:</w:t>
      </w:r>
      <w:r>
        <w:rPr>
          <w:rFonts w:cs="Times New Roman"/>
        </w:rPr>
        <w:t xml:space="preserve">  </w:t>
      </w:r>
    </w:p>
    <w:p w:rsidR="003A4F36" w:rsidRDefault="006C7B52">
      <w:pPr>
        <w:jc w:val="both"/>
        <w:rPr>
          <w:rFonts w:cs="Times New Roman"/>
        </w:rPr>
      </w:pPr>
      <w:r>
        <w:rPr>
          <w:rFonts w:cs="Times New Roman"/>
        </w:rPr>
        <w:t>Immunization Agenda (IA) 2030</w:t>
      </w:r>
    </w:p>
    <w:p w:rsidR="003A4F36" w:rsidRDefault="006C7B52">
      <w:pPr>
        <w:jc w:val="both"/>
        <w:rPr>
          <w:rFonts w:cs="Times New Roman"/>
        </w:rPr>
      </w:pPr>
      <w:r>
        <w:rPr>
          <w:rFonts w:cs="Times New Roman"/>
        </w:rPr>
        <w:t>Cata-Preta, B. O., Santos, T. M., Mengistu, T., Hogan, D. R., Barros, A. J. D., &amp; Victora, C. G. 2021. Zero-dose children and the immunisation cascade: U</w:t>
      </w:r>
      <w:r>
        <w:rPr>
          <w:rFonts w:cs="Times New Roman"/>
        </w:rPr>
        <w:t xml:space="preserve">nderstanding immunisation pathways in low and middle-income countries. Vaccine, 39(32), 4564–4570. </w:t>
      </w:r>
      <w:hyperlink r:id="rId14" w:history="1">
        <w:r>
          <w:rPr>
            <w:rStyle w:val="Hyperlink"/>
            <w:rFonts w:cs="Times New Roman"/>
          </w:rPr>
          <w:t>https://doi.org/10.1016/j.vaccine.2021.02.072</w:t>
        </w:r>
      </w:hyperlink>
    </w:p>
    <w:p w:rsidR="003A4F36" w:rsidRDefault="006C7B52">
      <w:pPr>
        <w:jc w:val="both"/>
        <w:rPr>
          <w:rFonts w:cs="Times New Roman"/>
        </w:rPr>
      </w:pPr>
      <w:r>
        <w:rPr>
          <w:rFonts w:cs="Times New Roman"/>
        </w:rPr>
        <w:t>Kenya National Bureau of Statistics.2022.</w:t>
      </w:r>
      <w:r>
        <w:rPr>
          <w:rFonts w:cs="Times New Roman"/>
        </w:rPr>
        <w:t xml:space="preserve"> Kenya Demographic Health Survey.</w:t>
      </w:r>
    </w:p>
    <w:p w:rsidR="003A4F36" w:rsidRDefault="006C7B52">
      <w:pPr>
        <w:jc w:val="both"/>
        <w:rPr>
          <w:rFonts w:cs="Times New Roman"/>
        </w:rPr>
      </w:pPr>
      <w:r>
        <w:rPr>
          <w:rFonts w:cs="Times New Roman"/>
        </w:rPr>
        <w:t xml:space="preserve">Tadeo Javier Cocucci ,Manuel Pulido,Juan Pablo Aparicio,Juan Ruíz,Mario Ignacio Simoy,Santiago Rosa. 2022. Inference in epidemiological agent-based models using ensemble-based data assimilation. Published: March 4, 2022 </w:t>
      </w:r>
      <w:hyperlink r:id="rId15" w:history="1">
        <w:r>
          <w:rPr>
            <w:rStyle w:val="Hyperlink"/>
            <w:rFonts w:cs="Times New Roman"/>
          </w:rPr>
          <w:t>https://doi.org/10.1371/journal.pone.0264892</w:t>
        </w:r>
      </w:hyperlink>
    </w:p>
    <w:p w:rsidR="003A4F36" w:rsidRDefault="006C7B52">
      <w:pPr>
        <w:jc w:val="both"/>
        <w:rPr>
          <w:rFonts w:cs="Times New Roman"/>
        </w:rPr>
      </w:pPr>
      <w:r>
        <w:rPr>
          <w:rFonts w:cs="Times New Roman"/>
        </w:rPr>
        <w:t>Our world in data 2019. Accessed 18</w:t>
      </w:r>
      <w:r>
        <w:rPr>
          <w:rFonts w:cs="Times New Roman"/>
          <w:vertAlign w:val="superscript"/>
        </w:rPr>
        <w:t>th</w:t>
      </w:r>
      <w:r>
        <w:rPr>
          <w:rFonts w:cs="Times New Roman"/>
        </w:rPr>
        <w:t xml:space="preserve"> April 2024</w:t>
      </w:r>
    </w:p>
    <w:p w:rsidR="003A4F36" w:rsidRDefault="006C7B52">
      <w:pPr>
        <w:jc w:val="both"/>
        <w:rPr>
          <w:rFonts w:cs="Times New Roman"/>
        </w:rPr>
      </w:pPr>
      <w:r>
        <w:rPr>
          <w:rFonts w:cs="Times New Roman"/>
        </w:rPr>
        <w:t>Ozigbu, Chamberline E., Bankole Olatosi, Zhenlong Li, James W. Hardin, and Nicole L. Hair. 2022. "Corre</w:t>
      </w:r>
      <w:r>
        <w:rPr>
          <w:rFonts w:cs="Times New Roman"/>
        </w:rPr>
        <w:t>lates of Zero-Dose Vaccination Status among Children Aged 12–59 Months in Sub-Saharan Africa: A Multilevel Analysis of Individual and Contextual Factors" Vaccines 10, no. 7: 1052. https://doi.org/10.3390/vaccines10071052</w:t>
      </w:r>
    </w:p>
    <w:p w:rsidR="003A4F36" w:rsidRDefault="006C7B52">
      <w:pPr>
        <w:jc w:val="both"/>
        <w:rPr>
          <w:rFonts w:cs="Times New Roman"/>
        </w:rPr>
      </w:pPr>
      <w:r>
        <w:rPr>
          <w:rFonts w:cs="Times New Roman"/>
        </w:rPr>
        <w:t>Wonodi, Chizoba, and Brooke Amara F</w:t>
      </w:r>
      <w:r>
        <w:rPr>
          <w:rFonts w:cs="Times New Roman"/>
        </w:rPr>
        <w:t xml:space="preserve">arrenkopf. 2023. "Defining the Zero Dose Child: A Comparative Analysis of Two Approaches and Their Impact on Assessing the Zero Dose Burden and Vulnerability Profiles across 82 Low- and Middle-Income Countries" Vaccines 11, no. 10: 1543. </w:t>
      </w:r>
      <w:hyperlink r:id="rId16" w:history="1">
        <w:r>
          <w:rPr>
            <w:rStyle w:val="Hyperlink"/>
            <w:rFonts w:cs="Times New Roman"/>
          </w:rPr>
          <w:t>https://doi.org/10.3390/vaccines11101543</w:t>
        </w:r>
      </w:hyperlink>
    </w:p>
    <w:p w:rsidR="003A4F36" w:rsidRDefault="006C7B52">
      <w:pPr>
        <w:jc w:val="both"/>
        <w:rPr>
          <w:rFonts w:cs="Times New Roman"/>
        </w:rPr>
      </w:pPr>
      <w:r>
        <w:rPr>
          <w:rFonts w:cs="Times New Roman"/>
        </w:rPr>
        <w:t>World Health Organization report 2020</w:t>
      </w:r>
    </w:p>
    <w:p w:rsidR="003A4F36" w:rsidRDefault="003A4F36">
      <w:pPr>
        <w:ind w:left="360"/>
        <w:jc w:val="both"/>
        <w:rPr>
          <w:rFonts w:cs="Times New Roman"/>
          <w:b/>
          <w:bCs/>
        </w:rPr>
      </w:pPr>
      <w:bookmarkStart w:id="0" w:name="_GoBack"/>
      <w:bookmarkEnd w:id="0"/>
    </w:p>
    <w:sectPr w:rsidR="003A4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9E7227C4"/>
    <w:lvl w:ilvl="0" w:tplc="20000001">
      <w:start w:val="1"/>
      <w:numFmt w:val="bullet"/>
      <w:lvlText w:val=""/>
      <w:lvlJc w:val="left"/>
      <w:pPr>
        <w:ind w:left="2203" w:hanging="360"/>
      </w:pPr>
      <w:rPr>
        <w:rFonts w:ascii="Symbol" w:hAnsi="Symbol" w:hint="default"/>
      </w:rPr>
    </w:lvl>
    <w:lvl w:ilvl="1" w:tplc="20000003" w:tentative="1">
      <w:start w:val="1"/>
      <w:numFmt w:val="bullet"/>
      <w:lvlText w:val="o"/>
      <w:lvlJc w:val="left"/>
      <w:pPr>
        <w:ind w:left="2923" w:hanging="360"/>
      </w:pPr>
      <w:rPr>
        <w:rFonts w:ascii="Courier New" w:hAnsi="Courier New" w:cs="Courier New" w:hint="default"/>
      </w:rPr>
    </w:lvl>
    <w:lvl w:ilvl="2" w:tplc="20000005" w:tentative="1">
      <w:start w:val="1"/>
      <w:numFmt w:val="bullet"/>
      <w:lvlText w:val=""/>
      <w:lvlJc w:val="left"/>
      <w:pPr>
        <w:ind w:left="3643" w:hanging="360"/>
      </w:pPr>
      <w:rPr>
        <w:rFonts w:ascii="Wingdings" w:hAnsi="Wingdings" w:hint="default"/>
      </w:rPr>
    </w:lvl>
    <w:lvl w:ilvl="3" w:tplc="20000001" w:tentative="1">
      <w:start w:val="1"/>
      <w:numFmt w:val="bullet"/>
      <w:lvlText w:val=""/>
      <w:lvlJc w:val="left"/>
      <w:pPr>
        <w:ind w:left="4363" w:hanging="360"/>
      </w:pPr>
      <w:rPr>
        <w:rFonts w:ascii="Symbol" w:hAnsi="Symbol" w:hint="default"/>
      </w:rPr>
    </w:lvl>
    <w:lvl w:ilvl="4" w:tplc="20000003" w:tentative="1">
      <w:start w:val="1"/>
      <w:numFmt w:val="bullet"/>
      <w:lvlText w:val="o"/>
      <w:lvlJc w:val="left"/>
      <w:pPr>
        <w:ind w:left="5083" w:hanging="360"/>
      </w:pPr>
      <w:rPr>
        <w:rFonts w:ascii="Courier New" w:hAnsi="Courier New" w:cs="Courier New" w:hint="default"/>
      </w:rPr>
    </w:lvl>
    <w:lvl w:ilvl="5" w:tplc="20000005" w:tentative="1">
      <w:start w:val="1"/>
      <w:numFmt w:val="bullet"/>
      <w:lvlText w:val=""/>
      <w:lvlJc w:val="left"/>
      <w:pPr>
        <w:ind w:left="5803" w:hanging="360"/>
      </w:pPr>
      <w:rPr>
        <w:rFonts w:ascii="Wingdings" w:hAnsi="Wingdings" w:hint="default"/>
      </w:rPr>
    </w:lvl>
    <w:lvl w:ilvl="6" w:tplc="20000001" w:tentative="1">
      <w:start w:val="1"/>
      <w:numFmt w:val="bullet"/>
      <w:lvlText w:val=""/>
      <w:lvlJc w:val="left"/>
      <w:pPr>
        <w:ind w:left="6523" w:hanging="360"/>
      </w:pPr>
      <w:rPr>
        <w:rFonts w:ascii="Symbol" w:hAnsi="Symbol" w:hint="default"/>
      </w:rPr>
    </w:lvl>
    <w:lvl w:ilvl="7" w:tplc="20000003" w:tentative="1">
      <w:start w:val="1"/>
      <w:numFmt w:val="bullet"/>
      <w:lvlText w:val="o"/>
      <w:lvlJc w:val="left"/>
      <w:pPr>
        <w:ind w:left="7243" w:hanging="360"/>
      </w:pPr>
      <w:rPr>
        <w:rFonts w:ascii="Courier New" w:hAnsi="Courier New" w:cs="Courier New" w:hint="default"/>
      </w:rPr>
    </w:lvl>
    <w:lvl w:ilvl="8" w:tplc="20000005" w:tentative="1">
      <w:start w:val="1"/>
      <w:numFmt w:val="bullet"/>
      <w:lvlText w:val=""/>
      <w:lvlJc w:val="left"/>
      <w:pPr>
        <w:ind w:left="7963" w:hanging="360"/>
      </w:pPr>
      <w:rPr>
        <w:rFonts w:ascii="Wingdings" w:hAnsi="Wingdings" w:hint="default"/>
      </w:rPr>
    </w:lvl>
  </w:abstractNum>
  <w:abstractNum w:abstractNumId="1" w15:restartNumberingAfterBreak="0">
    <w:nsid w:val="00000001"/>
    <w:multiLevelType w:val="hybridMultilevel"/>
    <w:tmpl w:val="10B2BAA4"/>
    <w:lvl w:ilvl="0" w:tplc="F7FAEFBE">
      <w:start w:val="1"/>
      <w:numFmt w:val="bullet"/>
      <w:lvlText w:val="-"/>
      <w:lvlJc w:val="left"/>
      <w:pPr>
        <w:ind w:left="720" w:hanging="360"/>
      </w:pPr>
      <w:rPr>
        <w:rFonts w:ascii="Aptos" w:eastAsia="Aptos"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4F26D8DE"/>
    <w:lvl w:ilvl="0" w:tplc="472AA05C">
      <w:start w:val="1"/>
      <w:numFmt w:val="decimal"/>
      <w:lvlText w:val="%1."/>
      <w:lvlJc w:val="left"/>
      <w:pPr>
        <w:ind w:left="990" w:hanging="360"/>
      </w:pPr>
      <w:rPr>
        <w:rFonts w:ascii="Times New Roman" w:eastAsia="Aptos" w:hAnsi="Times New Roman" w:cs="Times New Roman"/>
      </w:rPr>
    </w:lvl>
    <w:lvl w:ilvl="1" w:tplc="20000003" w:tentative="1">
      <w:start w:val="1"/>
      <w:numFmt w:val="bullet"/>
      <w:lvlText w:val="o"/>
      <w:lvlJc w:val="left"/>
      <w:pPr>
        <w:ind w:left="1710" w:hanging="360"/>
      </w:pPr>
      <w:rPr>
        <w:rFonts w:ascii="Courier New" w:hAnsi="Courier New" w:cs="Courier New" w:hint="default"/>
      </w:rPr>
    </w:lvl>
    <w:lvl w:ilvl="2" w:tplc="20000005" w:tentative="1">
      <w:start w:val="1"/>
      <w:numFmt w:val="bullet"/>
      <w:lvlText w:val=""/>
      <w:lvlJc w:val="left"/>
      <w:pPr>
        <w:ind w:left="2430" w:hanging="360"/>
      </w:pPr>
      <w:rPr>
        <w:rFonts w:ascii="Wingdings" w:hAnsi="Wingdings" w:hint="default"/>
      </w:rPr>
    </w:lvl>
    <w:lvl w:ilvl="3" w:tplc="20000001" w:tentative="1">
      <w:start w:val="1"/>
      <w:numFmt w:val="bullet"/>
      <w:lvlText w:val=""/>
      <w:lvlJc w:val="left"/>
      <w:pPr>
        <w:ind w:left="3150" w:hanging="360"/>
      </w:pPr>
      <w:rPr>
        <w:rFonts w:ascii="Symbol" w:hAnsi="Symbol" w:hint="default"/>
      </w:rPr>
    </w:lvl>
    <w:lvl w:ilvl="4" w:tplc="20000003" w:tentative="1">
      <w:start w:val="1"/>
      <w:numFmt w:val="bullet"/>
      <w:lvlText w:val="o"/>
      <w:lvlJc w:val="left"/>
      <w:pPr>
        <w:ind w:left="3870" w:hanging="360"/>
      </w:pPr>
      <w:rPr>
        <w:rFonts w:ascii="Courier New" w:hAnsi="Courier New" w:cs="Courier New" w:hint="default"/>
      </w:rPr>
    </w:lvl>
    <w:lvl w:ilvl="5" w:tplc="20000005" w:tentative="1">
      <w:start w:val="1"/>
      <w:numFmt w:val="bullet"/>
      <w:lvlText w:val=""/>
      <w:lvlJc w:val="left"/>
      <w:pPr>
        <w:ind w:left="4590" w:hanging="360"/>
      </w:pPr>
      <w:rPr>
        <w:rFonts w:ascii="Wingdings" w:hAnsi="Wingdings" w:hint="default"/>
      </w:rPr>
    </w:lvl>
    <w:lvl w:ilvl="6" w:tplc="20000001" w:tentative="1">
      <w:start w:val="1"/>
      <w:numFmt w:val="bullet"/>
      <w:lvlText w:val=""/>
      <w:lvlJc w:val="left"/>
      <w:pPr>
        <w:ind w:left="5310" w:hanging="360"/>
      </w:pPr>
      <w:rPr>
        <w:rFonts w:ascii="Symbol" w:hAnsi="Symbol" w:hint="default"/>
      </w:rPr>
    </w:lvl>
    <w:lvl w:ilvl="7" w:tplc="20000003" w:tentative="1">
      <w:start w:val="1"/>
      <w:numFmt w:val="bullet"/>
      <w:lvlText w:val="o"/>
      <w:lvlJc w:val="left"/>
      <w:pPr>
        <w:ind w:left="6030" w:hanging="360"/>
      </w:pPr>
      <w:rPr>
        <w:rFonts w:ascii="Courier New" w:hAnsi="Courier New" w:cs="Courier New" w:hint="default"/>
      </w:rPr>
    </w:lvl>
    <w:lvl w:ilvl="8" w:tplc="20000005" w:tentative="1">
      <w:start w:val="1"/>
      <w:numFmt w:val="bullet"/>
      <w:lvlText w:val=""/>
      <w:lvlJc w:val="left"/>
      <w:pPr>
        <w:ind w:left="6750" w:hanging="360"/>
      </w:pPr>
      <w:rPr>
        <w:rFonts w:ascii="Wingdings" w:hAnsi="Wingdings" w:hint="default"/>
      </w:rPr>
    </w:lvl>
  </w:abstractNum>
  <w:abstractNum w:abstractNumId="3" w15:restartNumberingAfterBreak="0">
    <w:nsid w:val="00000003"/>
    <w:multiLevelType w:val="hybridMultilevel"/>
    <w:tmpl w:val="DB68A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D6E47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BC64E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46FEE70E"/>
    <w:lvl w:ilvl="0" w:tplc="8B0EFF0E">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0000007"/>
    <w:multiLevelType w:val="hybridMultilevel"/>
    <w:tmpl w:val="9FE24D8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 w15:restartNumberingAfterBreak="0">
    <w:nsid w:val="00000008"/>
    <w:multiLevelType w:val="hybridMultilevel"/>
    <w:tmpl w:val="1262755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9" w15:restartNumberingAfterBreak="0">
    <w:nsid w:val="00000009"/>
    <w:multiLevelType w:val="hybridMultilevel"/>
    <w:tmpl w:val="B31E0FA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0000000A"/>
    <w:multiLevelType w:val="hybridMultilevel"/>
    <w:tmpl w:val="D2F80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96221CD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2" w15:restartNumberingAfterBreak="0">
    <w:nsid w:val="0000000C"/>
    <w:multiLevelType w:val="hybridMultilevel"/>
    <w:tmpl w:val="B8BC9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4"/>
  </w:num>
  <w:num w:numId="4">
    <w:abstractNumId w:val="2"/>
  </w:num>
  <w:num w:numId="5">
    <w:abstractNumId w:val="0"/>
  </w:num>
  <w:num w:numId="6">
    <w:abstractNumId w:val="3"/>
  </w:num>
  <w:num w:numId="7">
    <w:abstractNumId w:val="7"/>
  </w:num>
  <w:num w:numId="8">
    <w:abstractNumId w:val="8"/>
  </w:num>
  <w:num w:numId="9">
    <w:abstractNumId w:val="9"/>
  </w:num>
  <w:num w:numId="10">
    <w:abstractNumId w:val="11"/>
  </w:num>
  <w:num w:numId="11">
    <w:abstractNumId w:val="10"/>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F36"/>
    <w:rsid w:val="001F644D"/>
    <w:rsid w:val="00341016"/>
    <w:rsid w:val="003A4F36"/>
    <w:rsid w:val="006C7B52"/>
    <w:rsid w:val="00ED3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6239"/>
  <w15:docId w15:val="{297D81F4-C42F-4374-917E-6C4E860FD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jeri@aphrc.org"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390/vaccines11101543" TargetMode="External"/><Relationship Id="rId1" Type="http://schemas.openxmlformats.org/officeDocument/2006/relationships/numbering" Target="numbering.xml"/><Relationship Id="rId6" Type="http://schemas.openxmlformats.org/officeDocument/2006/relationships/hyperlink" Target="mailto:susan.mambo@jkuat.ac.ke" TargetMode="External"/><Relationship Id="rId11" Type="http://schemas.openxmlformats.org/officeDocument/2006/relationships/image" Target="media/image4.png"/><Relationship Id="rId5" Type="http://schemas.openxmlformats.org/officeDocument/2006/relationships/hyperlink" Target="mailto:bcheriro@jkuat.ac.ke" TargetMode="External"/><Relationship Id="rId15" Type="http://schemas.openxmlformats.org/officeDocument/2006/relationships/hyperlink" Target="https://doi.org/10.1371/journal.pone.0264892"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vaccine.2021.02.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Evans Omondi</dc:creator>
  <cp:lastModifiedBy>CHERIRO</cp:lastModifiedBy>
  <cp:revision>2</cp:revision>
  <dcterms:created xsi:type="dcterms:W3CDTF">2024-07-17T18:14:00Z</dcterms:created>
  <dcterms:modified xsi:type="dcterms:W3CDTF">2024-07-17T18:14:00Z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861432f7a5944da7b086e45dd95acebb</vt:lpwstr>
  </property>
</Properties>
</file>