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21865" w14:textId="0B65E8D3" w:rsidR="00A6540F" w:rsidRPr="009F1105" w:rsidRDefault="00A6540F" w:rsidP="00A6540F">
      <w:pPr>
        <w:rPr>
          <w:b/>
          <w:bCs/>
        </w:rPr>
      </w:pPr>
      <w:r w:rsidRPr="009F1105">
        <w:rPr>
          <w:b/>
          <w:bCs/>
        </w:rPr>
        <w:t>Unit 9 – Data Visualisation and Interpretation</w:t>
      </w:r>
    </w:p>
    <w:p w14:paraId="0FF58A72" w14:textId="77777777" w:rsidR="00A6540F" w:rsidRPr="009F1105" w:rsidRDefault="00A6540F" w:rsidP="00A6540F">
      <w:r w:rsidRPr="009F1105">
        <w:t>This unit introduced data visualisation and descriptive presentation techniques in Excel and LibreOffice, focusing on bar charts and histograms to represent and interpret frequency distributions.</w:t>
      </w:r>
      <w:r w:rsidRPr="009F1105">
        <w:br/>
        <w:t>The exercises aimed to enhance analytical interpretation skills by connecting statistical summaries (from Units 7–8) with visual communication of data trends.</w:t>
      </w:r>
    </w:p>
    <w:p w14:paraId="59CCF05C" w14:textId="77777777" w:rsidR="00A6540F" w:rsidRPr="009F1105" w:rsidRDefault="00A6540F" w:rsidP="00A6540F">
      <w:r w:rsidRPr="009F1105">
        <w:t>Through these activities, I developed practical understanding of how data visualisation supports exploratory analysis, pattern identification, and narrative clarity in research — key components for analysing and presenting SME digital adoption data in my capstone project.</w:t>
      </w:r>
    </w:p>
    <w:p w14:paraId="262DD510" w14:textId="5FA19A5A" w:rsidR="00A6540F" w:rsidRPr="009F1105" w:rsidRDefault="00A6540F" w:rsidP="00A6540F"/>
    <w:p w14:paraId="47537FE8" w14:textId="26597702" w:rsidR="00A6540F" w:rsidRPr="009F1105" w:rsidRDefault="00A6540F" w:rsidP="00A6540F">
      <w:pPr>
        <w:rPr>
          <w:b/>
          <w:bCs/>
        </w:rPr>
      </w:pPr>
      <w:r w:rsidRPr="009F1105">
        <w:rPr>
          <w:b/>
          <w:bCs/>
        </w:rPr>
        <w:t>Exercise 9.1 – Bar Chart (Area 1</w:t>
      </w:r>
      <w:r w:rsidR="0092058B" w:rsidRPr="009F1105">
        <w:rPr>
          <w:b/>
          <w:bCs/>
        </w:rPr>
        <w:t xml:space="preserve"> and Area 2</w:t>
      </w:r>
      <w:r w:rsidRPr="009F1105">
        <w:rPr>
          <w:b/>
          <w:bCs/>
        </w:rPr>
        <w:t>)</w:t>
      </w:r>
    </w:p>
    <w:p w14:paraId="11F63B81" w14:textId="4CE674A8" w:rsidR="0085505D" w:rsidRPr="009F1105" w:rsidRDefault="0085505D" w:rsidP="00A6540F">
      <w:pPr>
        <w:rPr>
          <w:b/>
          <w:bCs/>
        </w:rPr>
      </w:pPr>
      <w:r w:rsidRPr="009F1105">
        <w:rPr>
          <w:noProof/>
        </w:rPr>
        <w:drawing>
          <wp:inline distT="0" distB="0" distL="0" distR="0" wp14:anchorId="20A1ECD7" wp14:editId="7F07AD33">
            <wp:extent cx="2546350" cy="2359660"/>
            <wp:effectExtent l="0" t="0" r="6350" b="2540"/>
            <wp:docPr id="1836065668"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C76555" w:rsidRPr="009F1105">
        <w:rPr>
          <w:b/>
          <w:bCs/>
        </w:rPr>
        <w:t xml:space="preserve">  </w:t>
      </w:r>
      <w:r w:rsidR="00C76555" w:rsidRPr="009F1105">
        <w:rPr>
          <w:noProof/>
        </w:rPr>
        <w:drawing>
          <wp:inline distT="0" distB="0" distL="0" distR="0" wp14:anchorId="40161F1B" wp14:editId="2BB432FD">
            <wp:extent cx="2781300" cy="2349500"/>
            <wp:effectExtent l="0" t="0" r="0" b="12700"/>
            <wp:docPr id="158388678" name="Chart 1">
              <a:extLst xmlns:a="http://schemas.openxmlformats.org/drawingml/2006/main">
                <a:ext uri="{FF2B5EF4-FFF2-40B4-BE49-F238E27FC236}">
                  <a16:creationId xmlns:a16="http://schemas.microsoft.com/office/drawing/2014/main" id="{0C1F2EE0-C77B-9406-007C-387736DC5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AE07A8" w14:textId="617548D9" w:rsidR="00A6540F" w:rsidRPr="009F1105" w:rsidRDefault="00A6540F" w:rsidP="00A6540F">
      <w:pPr>
        <w:rPr>
          <w:rFonts w:cs="Times New Roman"/>
        </w:rPr>
      </w:pPr>
      <w:r w:rsidRPr="009F1105">
        <w:rPr>
          <w:b/>
          <w:bCs/>
        </w:rPr>
        <w:t>Interpretation:</w:t>
      </w:r>
      <w:r w:rsidRPr="009F1105">
        <w:br/>
      </w:r>
      <w:r w:rsidR="009A4E22" w:rsidRPr="009F1105">
        <w:rPr>
          <w:rFonts w:cs="Times New Roman"/>
        </w:rPr>
        <w:t>Both areas were dominated by “Other” brand then followed by brand B and lastly A. Area 2 has smaller domination by the “Other” brand rather than in Area 1.</w:t>
      </w:r>
    </w:p>
    <w:p w14:paraId="58601E42" w14:textId="77777777" w:rsidR="00910701" w:rsidRPr="009F1105" w:rsidRDefault="00910701" w:rsidP="00A6540F">
      <w:pPr>
        <w:rPr>
          <w:b/>
          <w:bCs/>
        </w:rPr>
      </w:pPr>
    </w:p>
    <w:p w14:paraId="11F72E1D" w14:textId="77777777" w:rsidR="00910701" w:rsidRPr="009F1105" w:rsidRDefault="00910701" w:rsidP="00A6540F">
      <w:pPr>
        <w:rPr>
          <w:b/>
          <w:bCs/>
        </w:rPr>
      </w:pPr>
    </w:p>
    <w:p w14:paraId="62493C2C" w14:textId="77777777" w:rsidR="00910701" w:rsidRPr="009F1105" w:rsidRDefault="00910701" w:rsidP="00A6540F">
      <w:pPr>
        <w:rPr>
          <w:b/>
          <w:bCs/>
        </w:rPr>
      </w:pPr>
    </w:p>
    <w:p w14:paraId="59A2A1B6" w14:textId="77777777" w:rsidR="00910701" w:rsidRPr="009F1105" w:rsidRDefault="00910701" w:rsidP="00A6540F">
      <w:pPr>
        <w:rPr>
          <w:b/>
          <w:bCs/>
        </w:rPr>
      </w:pPr>
    </w:p>
    <w:p w14:paraId="0280FFEA" w14:textId="77777777" w:rsidR="00910701" w:rsidRPr="009F1105" w:rsidRDefault="00910701" w:rsidP="00A6540F">
      <w:pPr>
        <w:rPr>
          <w:b/>
          <w:bCs/>
        </w:rPr>
      </w:pPr>
    </w:p>
    <w:p w14:paraId="0808871F" w14:textId="77777777" w:rsidR="00910701" w:rsidRPr="009F1105" w:rsidRDefault="00910701" w:rsidP="00A6540F">
      <w:pPr>
        <w:rPr>
          <w:b/>
          <w:bCs/>
        </w:rPr>
      </w:pPr>
    </w:p>
    <w:p w14:paraId="559E49F2" w14:textId="77777777" w:rsidR="00910701" w:rsidRPr="009F1105" w:rsidRDefault="00910701" w:rsidP="00A6540F">
      <w:pPr>
        <w:rPr>
          <w:b/>
          <w:bCs/>
        </w:rPr>
      </w:pPr>
    </w:p>
    <w:p w14:paraId="53366F61" w14:textId="77777777" w:rsidR="00910701" w:rsidRPr="009F1105" w:rsidRDefault="00910701" w:rsidP="00A6540F">
      <w:pPr>
        <w:rPr>
          <w:b/>
          <w:bCs/>
        </w:rPr>
      </w:pPr>
    </w:p>
    <w:p w14:paraId="61AE60D5" w14:textId="3487A7A0" w:rsidR="00A6540F" w:rsidRPr="009F1105" w:rsidRDefault="00A6540F" w:rsidP="00A6540F">
      <w:pPr>
        <w:rPr>
          <w:b/>
          <w:bCs/>
        </w:rPr>
      </w:pPr>
      <w:r w:rsidRPr="009F1105">
        <w:rPr>
          <w:b/>
          <w:bCs/>
        </w:rPr>
        <w:lastRenderedPageBreak/>
        <w:t>Exercise 9.2 – Comparative Bar Chart (Areas 1 &amp; 2)</w:t>
      </w:r>
    </w:p>
    <w:p w14:paraId="02FD67F8" w14:textId="4E8A4E90" w:rsidR="00910701" w:rsidRPr="009F1105" w:rsidRDefault="00910701" w:rsidP="00A6540F">
      <w:pPr>
        <w:rPr>
          <w:b/>
          <w:bCs/>
        </w:rPr>
      </w:pPr>
      <w:r w:rsidRPr="009F1105">
        <w:rPr>
          <w:noProof/>
        </w:rPr>
        <w:drawing>
          <wp:inline distT="0" distB="0" distL="0" distR="0" wp14:anchorId="2AF4D05E" wp14:editId="3B27D4B6">
            <wp:extent cx="4444779" cy="2910177"/>
            <wp:effectExtent l="0" t="0" r="13335" b="5080"/>
            <wp:docPr id="18816394" name="Chart 1">
              <a:extLst xmlns:a="http://schemas.openxmlformats.org/drawingml/2006/main">
                <a:ext uri="{FF2B5EF4-FFF2-40B4-BE49-F238E27FC236}">
                  <a16:creationId xmlns:a16="http://schemas.microsoft.com/office/drawing/2014/main" id="{19187649-F7A4-4493-5938-C02C7BA1F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C5AD88" w14:textId="77777777" w:rsidR="00A6540F" w:rsidRPr="009F1105" w:rsidRDefault="00A6540F" w:rsidP="00A6540F">
      <w:r w:rsidRPr="009F1105">
        <w:t xml:space="preserve">A clustered column bar chart was generated comparing </w:t>
      </w:r>
      <w:r w:rsidRPr="009F1105">
        <w:rPr>
          <w:i/>
          <w:iCs/>
        </w:rPr>
        <w:t>Area 1 vs Area 2</w:t>
      </w:r>
      <w:r w:rsidRPr="009F1105">
        <w:t xml:space="preserve"> brand preferences.</w:t>
      </w:r>
    </w:p>
    <w:p w14:paraId="2F9F38A9" w14:textId="77777777" w:rsidR="00A6540F" w:rsidRPr="009F1105" w:rsidRDefault="00A6540F" w:rsidP="00A6540F">
      <w:r w:rsidRPr="009F1105">
        <w:rPr>
          <w:b/>
          <w:bCs/>
        </w:rPr>
        <w:t>Findings:</w:t>
      </w:r>
    </w:p>
    <w:p w14:paraId="0A4D87C9" w14:textId="77777777" w:rsidR="00A6540F" w:rsidRPr="009F1105" w:rsidRDefault="00A6540F" w:rsidP="00A6540F">
      <w:pPr>
        <w:numPr>
          <w:ilvl w:val="0"/>
          <w:numId w:val="3"/>
        </w:numPr>
      </w:pPr>
      <w:r w:rsidRPr="009F1105">
        <w:t>Both areas showed similar ranking (Other &gt; B &gt; A).</w:t>
      </w:r>
    </w:p>
    <w:p w14:paraId="5B5EDC12" w14:textId="77777777" w:rsidR="00A6540F" w:rsidRPr="009F1105" w:rsidRDefault="00A6540F" w:rsidP="00A6540F">
      <w:pPr>
        <w:numPr>
          <w:ilvl w:val="0"/>
          <w:numId w:val="3"/>
        </w:numPr>
      </w:pPr>
      <w:r w:rsidRPr="009F1105">
        <w:t>However, Area 2 displayed higher percentages for Brands A and B, and a lower proportion for “Other”.</w:t>
      </w:r>
    </w:p>
    <w:p w14:paraId="4B323171" w14:textId="77777777" w:rsidR="00FD28E5" w:rsidRPr="009F1105" w:rsidRDefault="00A6540F" w:rsidP="00FD28E5">
      <w:pPr>
        <w:rPr>
          <w:rFonts w:cs="Times New Roman"/>
        </w:rPr>
      </w:pPr>
      <w:r w:rsidRPr="009F1105">
        <w:rPr>
          <w:b/>
          <w:bCs/>
        </w:rPr>
        <w:t>Interpretation:</w:t>
      </w:r>
      <w:r w:rsidRPr="009F1105">
        <w:br/>
      </w:r>
      <w:r w:rsidR="00FD28E5" w:rsidRPr="009F1105">
        <w:rPr>
          <w:rFonts w:cs="Times New Roman"/>
        </w:rPr>
        <w:t>The prevalence of the target heather species is substantially higher in Heathland A compared to Heathland B. In Location A, almost half of the transects show abundant growth, whereas in Location B, nearly half lack the species entirely. This suggests that environmental conditions or management practices at Location A are more favorable to the species’ proliferation.</w:t>
      </w:r>
    </w:p>
    <w:p w14:paraId="2A5E5CAB" w14:textId="5F9FA7A5" w:rsidR="00A6540F" w:rsidRPr="009F1105" w:rsidRDefault="00A6540F" w:rsidP="00A6540F">
      <w:r w:rsidRPr="009F1105">
        <w:t>In research on SMEs, similar comparative bar charts could visualise regional adoption rates of digital tools — illustrating geographic disparities in IS utilisation.</w:t>
      </w:r>
    </w:p>
    <w:p w14:paraId="6F245380" w14:textId="77777777" w:rsidR="00817323" w:rsidRPr="009F1105" w:rsidRDefault="00817323" w:rsidP="00A6540F">
      <w:pPr>
        <w:rPr>
          <w:b/>
          <w:bCs/>
        </w:rPr>
      </w:pPr>
    </w:p>
    <w:p w14:paraId="3DB534EF" w14:textId="77777777" w:rsidR="00817323" w:rsidRPr="009F1105" w:rsidRDefault="00817323" w:rsidP="00A6540F">
      <w:pPr>
        <w:rPr>
          <w:b/>
          <w:bCs/>
        </w:rPr>
      </w:pPr>
    </w:p>
    <w:p w14:paraId="38B4A438" w14:textId="77777777" w:rsidR="00817323" w:rsidRPr="009F1105" w:rsidRDefault="00817323" w:rsidP="00A6540F">
      <w:pPr>
        <w:rPr>
          <w:b/>
          <w:bCs/>
        </w:rPr>
      </w:pPr>
    </w:p>
    <w:p w14:paraId="57416E3F" w14:textId="77777777" w:rsidR="00817323" w:rsidRPr="009F1105" w:rsidRDefault="00817323" w:rsidP="00A6540F">
      <w:pPr>
        <w:rPr>
          <w:b/>
          <w:bCs/>
        </w:rPr>
      </w:pPr>
    </w:p>
    <w:p w14:paraId="2514E2C2" w14:textId="77777777" w:rsidR="00817323" w:rsidRPr="009F1105" w:rsidRDefault="00817323" w:rsidP="00A6540F">
      <w:pPr>
        <w:rPr>
          <w:b/>
          <w:bCs/>
        </w:rPr>
      </w:pPr>
    </w:p>
    <w:p w14:paraId="585BE5F1" w14:textId="77777777" w:rsidR="00817323" w:rsidRPr="009F1105" w:rsidRDefault="00817323" w:rsidP="00A6540F">
      <w:pPr>
        <w:rPr>
          <w:b/>
          <w:bCs/>
        </w:rPr>
      </w:pPr>
    </w:p>
    <w:p w14:paraId="55CCBEB8" w14:textId="77777777" w:rsidR="00817323" w:rsidRPr="009F1105" w:rsidRDefault="00817323" w:rsidP="00A6540F">
      <w:pPr>
        <w:rPr>
          <w:b/>
          <w:bCs/>
        </w:rPr>
      </w:pPr>
    </w:p>
    <w:p w14:paraId="3D55405F" w14:textId="589135E0" w:rsidR="00A6540F" w:rsidRPr="009F1105" w:rsidRDefault="00A6540F" w:rsidP="00A6540F">
      <w:pPr>
        <w:rPr>
          <w:b/>
          <w:bCs/>
        </w:rPr>
      </w:pPr>
      <w:r w:rsidRPr="009F1105">
        <w:rPr>
          <w:b/>
          <w:bCs/>
        </w:rPr>
        <w:t>Exercise 9.3 – Histograms (Diet A vs Diet B)</w:t>
      </w:r>
    </w:p>
    <w:tbl>
      <w:tblPr>
        <w:tblStyle w:val="TableGrid"/>
        <w:tblW w:w="0" w:type="auto"/>
        <w:tblBorders>
          <w:insideV w:val="none" w:sz="0" w:space="0" w:color="auto"/>
        </w:tblBorders>
        <w:tblLook w:val="04A0" w:firstRow="1" w:lastRow="0" w:firstColumn="1" w:lastColumn="0" w:noHBand="0" w:noVBand="1"/>
      </w:tblPr>
      <w:tblGrid>
        <w:gridCol w:w="4463"/>
        <w:gridCol w:w="4553"/>
      </w:tblGrid>
      <w:tr w:rsidR="00817323" w:rsidRPr="009F1105" w14:paraId="5D02D6DB" w14:textId="77777777" w:rsidTr="00D75F56">
        <w:tc>
          <w:tcPr>
            <w:tcW w:w="4506" w:type="dxa"/>
          </w:tcPr>
          <w:p w14:paraId="11BB405F" w14:textId="77777777" w:rsidR="00817323" w:rsidRPr="009F1105" w:rsidRDefault="00817323" w:rsidP="00D75F56">
            <w:pPr>
              <w:rPr>
                <w:rFonts w:asciiTheme="minorHAnsi" w:hAnsiTheme="minorHAnsi"/>
                <w:sz w:val="24"/>
                <w:szCs w:val="24"/>
              </w:rPr>
            </w:pPr>
            <w:r w:rsidRPr="009F1105">
              <w:rPr>
                <w:rFonts w:asciiTheme="minorHAnsi" w:hAnsiTheme="minorHAnsi"/>
                <w:noProof/>
              </w:rPr>
              <w:drawing>
                <wp:inline distT="0" distB="0" distL="0" distR="0" wp14:anchorId="50F98A84" wp14:editId="1043C691">
                  <wp:extent cx="2711450" cy="2667000"/>
                  <wp:effectExtent l="0" t="0" r="12700" b="0"/>
                  <wp:docPr id="38471718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016" w:type="dxa"/>
          </w:tcPr>
          <w:p w14:paraId="57A12B31" w14:textId="77777777" w:rsidR="00817323" w:rsidRPr="009F1105" w:rsidRDefault="00817323" w:rsidP="00D75F56">
            <w:pPr>
              <w:rPr>
                <w:rFonts w:asciiTheme="minorHAnsi" w:hAnsiTheme="minorHAnsi"/>
                <w:sz w:val="24"/>
                <w:szCs w:val="24"/>
              </w:rPr>
            </w:pPr>
            <w:r w:rsidRPr="009F1105">
              <w:rPr>
                <w:rFonts w:asciiTheme="minorHAnsi" w:hAnsiTheme="minorHAnsi"/>
                <w:noProof/>
              </w:rPr>
              <w:drawing>
                <wp:inline distT="0" distB="0" distL="0" distR="0" wp14:anchorId="13256FA3" wp14:editId="1E387438">
                  <wp:extent cx="2768600" cy="2654300"/>
                  <wp:effectExtent l="0" t="0" r="12700" b="12700"/>
                  <wp:docPr id="347158509" name="Chart 1">
                    <a:extLst xmlns:a="http://schemas.openxmlformats.org/drawingml/2006/main">
                      <a:ext uri="{FF2B5EF4-FFF2-40B4-BE49-F238E27FC236}">
                        <a16:creationId xmlns:a16="http://schemas.microsoft.com/office/drawing/2014/main" id="{A4EA9504-E38B-4C1D-BB49-CB974562B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16479F3D" w14:textId="77777777" w:rsidR="0066221E" w:rsidRPr="009F1105" w:rsidRDefault="0066221E" w:rsidP="00A6540F"/>
    <w:p w14:paraId="57CA87FF" w14:textId="02C428B4" w:rsidR="00A6540F" w:rsidRPr="009F1105" w:rsidRDefault="00A6540F" w:rsidP="00A6540F">
      <w:pPr>
        <w:rPr>
          <w:rFonts w:cs="Times New Roman"/>
        </w:rPr>
      </w:pPr>
      <w:r w:rsidRPr="009F1105">
        <w:rPr>
          <w:b/>
          <w:bCs/>
        </w:rPr>
        <w:t>Interpretation:</w:t>
      </w:r>
      <w:r w:rsidRPr="009F1105">
        <w:br/>
      </w:r>
      <w:r w:rsidR="006002DF" w:rsidRPr="009F1105">
        <w:rPr>
          <w:rFonts w:cs="Times New Roman"/>
        </w:rPr>
        <w:t>Diet A produced greater and more frequent weight losses. A smaller proportion of participants gained weight, and more achieved substantial losses. Therefore, Diet A appears more effective overall than Diet B.</w:t>
      </w:r>
    </w:p>
    <w:p w14:paraId="60103B30" w14:textId="77777777" w:rsidR="0028026C" w:rsidRPr="009F1105" w:rsidRDefault="0028026C">
      <w:pPr>
        <w:rPr>
          <w:b/>
          <w:bCs/>
        </w:rPr>
      </w:pPr>
    </w:p>
    <w:p w14:paraId="5B3A25D7" w14:textId="77777777" w:rsidR="0028026C" w:rsidRPr="009F1105" w:rsidRDefault="00A6540F">
      <w:r w:rsidRPr="009F1105">
        <w:rPr>
          <w:b/>
          <w:bCs/>
        </w:rPr>
        <w:t>Learning Point:</w:t>
      </w:r>
      <w:r w:rsidRPr="009F1105">
        <w:br/>
        <w:t>Bar charts are effective for categorical comparisons, while histograms reveal distributional properties (shape, spread, and symmetry).</w:t>
      </w:r>
      <w:r w:rsidRPr="009F1105">
        <w:br/>
      </w:r>
    </w:p>
    <w:p w14:paraId="358ED77E" w14:textId="69BB8DC1" w:rsidR="00A6540F" w:rsidRPr="009F1105" w:rsidRDefault="00A6540F">
      <w:r w:rsidRPr="009F1105">
        <w:t>Together, they provide both descriptive clarity and analytical depth for interpreting datasets.</w:t>
      </w:r>
    </w:p>
    <w:p w14:paraId="7BF55D92" w14:textId="77777777" w:rsidR="00A6540F" w:rsidRPr="009F1105" w:rsidRDefault="00A6540F"/>
    <w:p w14:paraId="4CC86E3D" w14:textId="77777777" w:rsidR="00A6540F" w:rsidRPr="009F1105" w:rsidRDefault="00A6540F" w:rsidP="00A6540F">
      <w:pPr>
        <w:rPr>
          <w:b/>
          <w:bCs/>
        </w:rPr>
      </w:pPr>
      <w:r w:rsidRPr="009F1105">
        <w:rPr>
          <w:b/>
          <w:bCs/>
        </w:rPr>
        <w:t>Reflection</w:t>
      </w:r>
    </w:p>
    <w:p w14:paraId="403A053C" w14:textId="77777777" w:rsidR="00A6540F" w:rsidRPr="009F1105" w:rsidRDefault="00A6540F" w:rsidP="00A6540F">
      <w:r w:rsidRPr="009F1105">
        <w:t>This unit demonstrated that data visualisation is a bridge between analysis and communication.</w:t>
      </w:r>
      <w:r w:rsidRPr="009F1105">
        <w:br/>
        <w:t xml:space="preserve">While numerical tests quantify differences, charts </w:t>
      </w:r>
      <w:r w:rsidRPr="009F1105">
        <w:rPr>
          <w:i/>
          <w:iCs/>
        </w:rPr>
        <w:t>show</w:t>
      </w:r>
      <w:r w:rsidRPr="009F1105">
        <w:t xml:space="preserve"> them — allowing audiences to perceive variation intuitively.</w:t>
      </w:r>
    </w:p>
    <w:p w14:paraId="0CE797EE" w14:textId="77777777" w:rsidR="00A6540F" w:rsidRPr="009F1105" w:rsidRDefault="00A6540F" w:rsidP="00A6540F">
      <w:r w:rsidRPr="009F1105">
        <w:t>For my future project on SME digital transformation in Indonesia, these methods can be applied to:</w:t>
      </w:r>
    </w:p>
    <w:p w14:paraId="2BBC43BA" w14:textId="77777777" w:rsidR="00A6540F" w:rsidRPr="009F1105" w:rsidRDefault="00A6540F" w:rsidP="00A6540F">
      <w:pPr>
        <w:numPr>
          <w:ilvl w:val="0"/>
          <w:numId w:val="6"/>
        </w:numPr>
      </w:pPr>
      <w:r w:rsidRPr="009F1105">
        <w:t>Compare IS adoption levels across provinces (clustered bar chart).</w:t>
      </w:r>
    </w:p>
    <w:p w14:paraId="707F0E3C" w14:textId="77777777" w:rsidR="00A6540F" w:rsidRPr="009F1105" w:rsidRDefault="00A6540F" w:rsidP="00A6540F">
      <w:pPr>
        <w:numPr>
          <w:ilvl w:val="0"/>
          <w:numId w:val="6"/>
        </w:numPr>
      </w:pPr>
      <w:r w:rsidRPr="009F1105">
        <w:lastRenderedPageBreak/>
        <w:t>Display distribution of productivity improvements among SMEs (histogram).</w:t>
      </w:r>
    </w:p>
    <w:p w14:paraId="55520191" w14:textId="77777777" w:rsidR="00A6540F" w:rsidRPr="009F1105" w:rsidRDefault="00A6540F" w:rsidP="00A6540F">
      <w:pPr>
        <w:numPr>
          <w:ilvl w:val="0"/>
          <w:numId w:val="6"/>
        </w:numPr>
      </w:pPr>
      <w:r w:rsidRPr="009F1105">
        <w:t>Combine visual analytics with inferential results for a clear research narrative.</w:t>
      </w:r>
    </w:p>
    <w:p w14:paraId="4612F590" w14:textId="77777777" w:rsidR="00A6540F" w:rsidRPr="009F1105" w:rsidRDefault="00A6540F" w:rsidP="00A6540F">
      <w:r w:rsidRPr="009F1105">
        <w:t>I also learned the importance of consistent axis scaling, labelling clarity, and colour accessibility, which are essential for ethical and professional data communication.</w:t>
      </w:r>
    </w:p>
    <w:p w14:paraId="6ABC5F84" w14:textId="77777777" w:rsidR="00A6540F" w:rsidRPr="009F1105" w:rsidRDefault="00A6540F" w:rsidP="00A6540F">
      <w:pPr>
        <w:rPr>
          <w:b/>
          <w:bCs/>
        </w:rPr>
      </w:pPr>
      <w:r w:rsidRPr="009F1105">
        <w:rPr>
          <w:b/>
          <w:bCs/>
        </w:rPr>
        <w:t>Skills Developed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5981"/>
      </w:tblGrid>
      <w:tr w:rsidR="00A6540F" w:rsidRPr="009F1105" w14:paraId="01343464" w14:textId="77777777" w:rsidTr="00A6540F">
        <w:trPr>
          <w:tblHeader/>
          <w:tblCellSpacing w:w="15" w:type="dxa"/>
        </w:trPr>
        <w:tc>
          <w:tcPr>
            <w:tcW w:w="0" w:type="auto"/>
            <w:vAlign w:val="center"/>
            <w:hideMark/>
          </w:tcPr>
          <w:p w14:paraId="57A94649" w14:textId="77777777" w:rsidR="00A6540F" w:rsidRPr="009F1105" w:rsidRDefault="00A6540F" w:rsidP="00A6540F">
            <w:pPr>
              <w:rPr>
                <w:b/>
                <w:bCs/>
              </w:rPr>
            </w:pPr>
            <w:r w:rsidRPr="009F1105">
              <w:rPr>
                <w:b/>
                <w:bCs/>
              </w:rPr>
              <w:t>Skill</w:t>
            </w:r>
          </w:p>
        </w:tc>
        <w:tc>
          <w:tcPr>
            <w:tcW w:w="0" w:type="auto"/>
            <w:vAlign w:val="center"/>
            <w:hideMark/>
          </w:tcPr>
          <w:p w14:paraId="13FA379D" w14:textId="77777777" w:rsidR="00A6540F" w:rsidRPr="009F1105" w:rsidRDefault="00A6540F" w:rsidP="00A6540F">
            <w:pPr>
              <w:rPr>
                <w:b/>
                <w:bCs/>
              </w:rPr>
            </w:pPr>
            <w:r w:rsidRPr="009F1105">
              <w:rPr>
                <w:b/>
                <w:bCs/>
              </w:rPr>
              <w:t>Description</w:t>
            </w:r>
          </w:p>
        </w:tc>
      </w:tr>
      <w:tr w:rsidR="00A6540F" w:rsidRPr="009F1105" w14:paraId="3380F795" w14:textId="77777777" w:rsidTr="00A6540F">
        <w:trPr>
          <w:tblCellSpacing w:w="15" w:type="dxa"/>
        </w:trPr>
        <w:tc>
          <w:tcPr>
            <w:tcW w:w="0" w:type="auto"/>
            <w:vAlign w:val="center"/>
            <w:hideMark/>
          </w:tcPr>
          <w:p w14:paraId="4ACA9634" w14:textId="77777777" w:rsidR="00A6540F" w:rsidRPr="009F1105" w:rsidRDefault="00A6540F" w:rsidP="00A6540F">
            <w:r w:rsidRPr="009F1105">
              <w:t>Data visualisation design</w:t>
            </w:r>
          </w:p>
        </w:tc>
        <w:tc>
          <w:tcPr>
            <w:tcW w:w="0" w:type="auto"/>
            <w:vAlign w:val="center"/>
            <w:hideMark/>
          </w:tcPr>
          <w:p w14:paraId="58F1135F" w14:textId="77777777" w:rsidR="00A6540F" w:rsidRPr="009F1105" w:rsidRDefault="00A6540F" w:rsidP="00A6540F">
            <w:r w:rsidRPr="009F1105">
              <w:t>Creating clear and accurate graphical summaries</w:t>
            </w:r>
          </w:p>
        </w:tc>
      </w:tr>
      <w:tr w:rsidR="00A6540F" w:rsidRPr="009F1105" w14:paraId="28DA5EBF" w14:textId="77777777" w:rsidTr="00A6540F">
        <w:trPr>
          <w:tblCellSpacing w:w="15" w:type="dxa"/>
        </w:trPr>
        <w:tc>
          <w:tcPr>
            <w:tcW w:w="0" w:type="auto"/>
            <w:vAlign w:val="center"/>
            <w:hideMark/>
          </w:tcPr>
          <w:p w14:paraId="75A6E153" w14:textId="77777777" w:rsidR="00A6540F" w:rsidRPr="009F1105" w:rsidRDefault="00A6540F" w:rsidP="00A6540F">
            <w:r w:rsidRPr="009F1105">
              <w:t>Comparative analysis</w:t>
            </w:r>
          </w:p>
        </w:tc>
        <w:tc>
          <w:tcPr>
            <w:tcW w:w="0" w:type="auto"/>
            <w:vAlign w:val="center"/>
            <w:hideMark/>
          </w:tcPr>
          <w:p w14:paraId="1E1F10F6" w14:textId="77777777" w:rsidR="00A6540F" w:rsidRPr="009F1105" w:rsidRDefault="00A6540F" w:rsidP="00A6540F">
            <w:r w:rsidRPr="009F1105">
              <w:t>Using charts to identify inter-group differences</w:t>
            </w:r>
          </w:p>
        </w:tc>
      </w:tr>
      <w:tr w:rsidR="00A6540F" w:rsidRPr="009F1105" w14:paraId="53C91A24" w14:textId="77777777" w:rsidTr="00A6540F">
        <w:trPr>
          <w:tblCellSpacing w:w="15" w:type="dxa"/>
        </w:trPr>
        <w:tc>
          <w:tcPr>
            <w:tcW w:w="0" w:type="auto"/>
            <w:vAlign w:val="center"/>
            <w:hideMark/>
          </w:tcPr>
          <w:p w14:paraId="5C7193C3" w14:textId="77777777" w:rsidR="00A6540F" w:rsidRPr="009F1105" w:rsidRDefault="00A6540F" w:rsidP="00A6540F">
            <w:r w:rsidRPr="009F1105">
              <w:t>Statistical interpretation</w:t>
            </w:r>
          </w:p>
        </w:tc>
        <w:tc>
          <w:tcPr>
            <w:tcW w:w="0" w:type="auto"/>
            <w:vAlign w:val="center"/>
            <w:hideMark/>
          </w:tcPr>
          <w:p w14:paraId="0C3E7988" w14:textId="77777777" w:rsidR="00A6540F" w:rsidRPr="009F1105" w:rsidRDefault="00A6540F" w:rsidP="00A6540F">
            <w:r w:rsidRPr="009F1105">
              <w:t>Linking visuals with numerical measures</w:t>
            </w:r>
          </w:p>
        </w:tc>
      </w:tr>
      <w:tr w:rsidR="00A6540F" w:rsidRPr="009F1105" w14:paraId="11C8F905" w14:textId="77777777" w:rsidTr="00A6540F">
        <w:trPr>
          <w:tblCellSpacing w:w="15" w:type="dxa"/>
        </w:trPr>
        <w:tc>
          <w:tcPr>
            <w:tcW w:w="0" w:type="auto"/>
            <w:vAlign w:val="center"/>
            <w:hideMark/>
          </w:tcPr>
          <w:p w14:paraId="64FCB8B5" w14:textId="77777777" w:rsidR="00A6540F" w:rsidRPr="009F1105" w:rsidRDefault="00A6540F" w:rsidP="00A6540F">
            <w:r w:rsidRPr="009F1105">
              <w:t>Excel analytics proficiency</w:t>
            </w:r>
          </w:p>
        </w:tc>
        <w:tc>
          <w:tcPr>
            <w:tcW w:w="0" w:type="auto"/>
            <w:vAlign w:val="center"/>
            <w:hideMark/>
          </w:tcPr>
          <w:p w14:paraId="4E46EB98" w14:textId="36DF9789" w:rsidR="00A6540F" w:rsidRPr="009F1105" w:rsidRDefault="00A6540F" w:rsidP="00A6540F">
            <w:r w:rsidRPr="009F1105">
              <w:t xml:space="preserve">Applying </w:t>
            </w:r>
            <w:r w:rsidR="00866DBE" w:rsidRPr="009F1105">
              <w:t>data visualization in excel</w:t>
            </w:r>
          </w:p>
        </w:tc>
      </w:tr>
      <w:tr w:rsidR="00A6540F" w:rsidRPr="009F1105" w14:paraId="417D80D5" w14:textId="77777777" w:rsidTr="00A6540F">
        <w:trPr>
          <w:tblCellSpacing w:w="15" w:type="dxa"/>
        </w:trPr>
        <w:tc>
          <w:tcPr>
            <w:tcW w:w="0" w:type="auto"/>
            <w:vAlign w:val="center"/>
            <w:hideMark/>
          </w:tcPr>
          <w:p w14:paraId="6605DD47" w14:textId="77777777" w:rsidR="00A6540F" w:rsidRPr="009F1105" w:rsidRDefault="00A6540F" w:rsidP="00A6540F">
            <w:r w:rsidRPr="009F1105">
              <w:t>Research presentation</w:t>
            </w:r>
          </w:p>
        </w:tc>
        <w:tc>
          <w:tcPr>
            <w:tcW w:w="0" w:type="auto"/>
            <w:vAlign w:val="center"/>
            <w:hideMark/>
          </w:tcPr>
          <w:p w14:paraId="0A06C9EF" w14:textId="77777777" w:rsidR="00A6540F" w:rsidRPr="009F1105" w:rsidRDefault="00A6540F" w:rsidP="00A6540F">
            <w:r w:rsidRPr="009F1105">
              <w:t>Translating data findings into meaningful visual narratives</w:t>
            </w:r>
          </w:p>
        </w:tc>
      </w:tr>
    </w:tbl>
    <w:p w14:paraId="7CBC8934" w14:textId="77777777" w:rsidR="00A6540F" w:rsidRPr="009F1105" w:rsidRDefault="00A6540F"/>
    <w:p w14:paraId="64DCC2D3" w14:textId="77777777" w:rsidR="00A6540F" w:rsidRPr="009F1105" w:rsidRDefault="00A6540F" w:rsidP="00A6540F">
      <w:pPr>
        <w:rPr>
          <w:b/>
          <w:bCs/>
        </w:rPr>
      </w:pPr>
      <w:r w:rsidRPr="009F1105">
        <w:rPr>
          <w:b/>
          <w:bCs/>
        </w:rPr>
        <w:t>Conclusion</w:t>
      </w:r>
    </w:p>
    <w:p w14:paraId="1D8F71E6" w14:textId="41AC80B3" w:rsidR="00A6540F" w:rsidRPr="009F1105" w:rsidRDefault="00A6540F">
      <w:r w:rsidRPr="009F1105">
        <w:t>This unit reinforced how visual literacy enhances analytical reasoning.</w:t>
      </w:r>
      <w:r w:rsidRPr="009F1105">
        <w:br/>
        <w:t>Bar charts and histograms transformed abstract numerical results into accessible insights, supporting transparent and persuasive reporting.</w:t>
      </w:r>
    </w:p>
    <w:sectPr w:rsidR="00A6540F" w:rsidRPr="009F1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5214"/>
    <w:multiLevelType w:val="multilevel"/>
    <w:tmpl w:val="28B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00B2B"/>
    <w:multiLevelType w:val="multilevel"/>
    <w:tmpl w:val="58B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F6892"/>
    <w:multiLevelType w:val="multilevel"/>
    <w:tmpl w:val="CF8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65085"/>
    <w:multiLevelType w:val="multilevel"/>
    <w:tmpl w:val="A22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B4DDC"/>
    <w:multiLevelType w:val="multilevel"/>
    <w:tmpl w:val="606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E3454"/>
    <w:multiLevelType w:val="multilevel"/>
    <w:tmpl w:val="6EC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247A3"/>
    <w:multiLevelType w:val="multilevel"/>
    <w:tmpl w:val="1C9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95263">
    <w:abstractNumId w:val="2"/>
  </w:num>
  <w:num w:numId="2" w16cid:durableId="276303117">
    <w:abstractNumId w:val="5"/>
  </w:num>
  <w:num w:numId="3" w16cid:durableId="2141415182">
    <w:abstractNumId w:val="6"/>
  </w:num>
  <w:num w:numId="4" w16cid:durableId="520316054">
    <w:abstractNumId w:val="3"/>
  </w:num>
  <w:num w:numId="5" w16cid:durableId="1110583397">
    <w:abstractNumId w:val="1"/>
  </w:num>
  <w:num w:numId="6" w16cid:durableId="731002425">
    <w:abstractNumId w:val="4"/>
  </w:num>
  <w:num w:numId="7" w16cid:durableId="52232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0F"/>
    <w:rsid w:val="002623B9"/>
    <w:rsid w:val="0028026C"/>
    <w:rsid w:val="004512A5"/>
    <w:rsid w:val="006002DF"/>
    <w:rsid w:val="0066221E"/>
    <w:rsid w:val="00817323"/>
    <w:rsid w:val="0085505D"/>
    <w:rsid w:val="00866DBE"/>
    <w:rsid w:val="008F66F6"/>
    <w:rsid w:val="00910701"/>
    <w:rsid w:val="0092058B"/>
    <w:rsid w:val="009A4E22"/>
    <w:rsid w:val="009F1105"/>
    <w:rsid w:val="00A6540F"/>
    <w:rsid w:val="00C76555"/>
    <w:rsid w:val="00DE365D"/>
    <w:rsid w:val="00EA2DAD"/>
    <w:rsid w:val="00ED1708"/>
    <w:rsid w:val="00FD28E5"/>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7F4D"/>
  <w15:chartTrackingRefBased/>
  <w15:docId w15:val="{FDD83DAB-79F9-4BFF-B453-07BDE513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t-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0F"/>
    <w:rPr>
      <w:rFonts w:eastAsiaTheme="majorEastAsia" w:cstheme="majorBidi"/>
      <w:color w:val="272727" w:themeColor="text1" w:themeTint="D8"/>
    </w:rPr>
  </w:style>
  <w:style w:type="paragraph" w:styleId="Title">
    <w:name w:val="Title"/>
    <w:basedOn w:val="Normal"/>
    <w:next w:val="Normal"/>
    <w:link w:val="TitleChar"/>
    <w:uiPriority w:val="10"/>
    <w:qFormat/>
    <w:rsid w:val="00A6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0F"/>
    <w:pPr>
      <w:spacing w:before="160"/>
      <w:jc w:val="center"/>
    </w:pPr>
    <w:rPr>
      <w:i/>
      <w:iCs/>
      <w:color w:val="404040" w:themeColor="text1" w:themeTint="BF"/>
    </w:rPr>
  </w:style>
  <w:style w:type="character" w:customStyle="1" w:styleId="QuoteChar">
    <w:name w:val="Quote Char"/>
    <w:basedOn w:val="DefaultParagraphFont"/>
    <w:link w:val="Quote"/>
    <w:uiPriority w:val="29"/>
    <w:rsid w:val="00A6540F"/>
    <w:rPr>
      <w:i/>
      <w:iCs/>
      <w:color w:val="404040" w:themeColor="text1" w:themeTint="BF"/>
    </w:rPr>
  </w:style>
  <w:style w:type="paragraph" w:styleId="ListParagraph">
    <w:name w:val="List Paragraph"/>
    <w:basedOn w:val="Normal"/>
    <w:uiPriority w:val="34"/>
    <w:qFormat/>
    <w:rsid w:val="00A6540F"/>
    <w:pPr>
      <w:ind w:left="720"/>
      <w:contextualSpacing/>
    </w:pPr>
  </w:style>
  <w:style w:type="character" w:styleId="IntenseEmphasis">
    <w:name w:val="Intense Emphasis"/>
    <w:basedOn w:val="DefaultParagraphFont"/>
    <w:uiPriority w:val="21"/>
    <w:qFormat/>
    <w:rsid w:val="00A6540F"/>
    <w:rPr>
      <w:i/>
      <w:iCs/>
      <w:color w:val="0F4761" w:themeColor="accent1" w:themeShade="BF"/>
    </w:rPr>
  </w:style>
  <w:style w:type="paragraph" w:styleId="IntenseQuote">
    <w:name w:val="Intense Quote"/>
    <w:basedOn w:val="Normal"/>
    <w:next w:val="Normal"/>
    <w:link w:val="IntenseQuoteChar"/>
    <w:uiPriority w:val="30"/>
    <w:qFormat/>
    <w:rsid w:val="00A6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0F"/>
    <w:rPr>
      <w:i/>
      <w:iCs/>
      <w:color w:val="0F4761" w:themeColor="accent1" w:themeShade="BF"/>
    </w:rPr>
  </w:style>
  <w:style w:type="character" w:styleId="IntenseReference">
    <w:name w:val="Intense Reference"/>
    <w:basedOn w:val="DefaultParagraphFont"/>
    <w:uiPriority w:val="32"/>
    <w:qFormat/>
    <w:rsid w:val="00A6540F"/>
    <w:rPr>
      <w:b/>
      <w:bCs/>
      <w:smallCaps/>
      <w:color w:val="0F4761" w:themeColor="accent1" w:themeShade="BF"/>
      <w:spacing w:val="5"/>
    </w:rPr>
  </w:style>
  <w:style w:type="character" w:styleId="Hyperlink">
    <w:name w:val="Hyperlink"/>
    <w:basedOn w:val="DefaultParagraphFont"/>
    <w:uiPriority w:val="99"/>
    <w:unhideWhenUsed/>
    <w:rsid w:val="00A6540F"/>
    <w:rPr>
      <w:color w:val="467886" w:themeColor="hyperlink"/>
      <w:u w:val="single"/>
    </w:rPr>
  </w:style>
  <w:style w:type="character" w:styleId="UnresolvedMention">
    <w:name w:val="Unresolved Mention"/>
    <w:basedOn w:val="DefaultParagraphFont"/>
    <w:uiPriority w:val="99"/>
    <w:semiHidden/>
    <w:unhideWhenUsed/>
    <w:rsid w:val="00A6540F"/>
    <w:rPr>
      <w:color w:val="605E5C"/>
      <w:shd w:val="clear" w:color="auto" w:fill="E1DFDD"/>
    </w:rPr>
  </w:style>
  <w:style w:type="table" w:styleId="TableGrid">
    <w:name w:val="Table Grid"/>
    <w:basedOn w:val="TableNormal"/>
    <w:rsid w:val="00817323"/>
    <w:pPr>
      <w:spacing w:after="0" w:line="240" w:lineRule="auto"/>
    </w:pPr>
    <w:rPr>
      <w:rFonts w:ascii="Times New Roman" w:eastAsia="SimSun" w:hAnsi="Times New Roman" w:cs="Times New Roman"/>
      <w:kern w:val="0"/>
      <w:sz w:val="20"/>
      <w:szCs w:val="20"/>
      <w:lang w:val="en-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3215">
      <w:bodyDiv w:val="1"/>
      <w:marLeft w:val="0"/>
      <w:marRight w:val="0"/>
      <w:marTop w:val="0"/>
      <w:marBottom w:val="0"/>
      <w:divBdr>
        <w:top w:val="none" w:sz="0" w:space="0" w:color="auto"/>
        <w:left w:val="none" w:sz="0" w:space="0" w:color="auto"/>
        <w:bottom w:val="none" w:sz="0" w:space="0" w:color="auto"/>
        <w:right w:val="none" w:sz="0" w:space="0" w:color="auto"/>
      </w:divBdr>
      <w:divsChild>
        <w:div w:id="580139556">
          <w:marLeft w:val="0"/>
          <w:marRight w:val="0"/>
          <w:marTop w:val="0"/>
          <w:marBottom w:val="0"/>
          <w:divBdr>
            <w:top w:val="none" w:sz="0" w:space="0" w:color="auto"/>
            <w:left w:val="none" w:sz="0" w:space="0" w:color="auto"/>
            <w:bottom w:val="none" w:sz="0" w:space="0" w:color="auto"/>
            <w:right w:val="none" w:sz="0" w:space="0" w:color="auto"/>
          </w:divBdr>
          <w:divsChild>
            <w:div w:id="2388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973">
      <w:bodyDiv w:val="1"/>
      <w:marLeft w:val="0"/>
      <w:marRight w:val="0"/>
      <w:marTop w:val="0"/>
      <w:marBottom w:val="0"/>
      <w:divBdr>
        <w:top w:val="none" w:sz="0" w:space="0" w:color="auto"/>
        <w:left w:val="none" w:sz="0" w:space="0" w:color="auto"/>
        <w:bottom w:val="none" w:sz="0" w:space="0" w:color="auto"/>
        <w:right w:val="none" w:sz="0" w:space="0" w:color="auto"/>
      </w:divBdr>
    </w:div>
    <w:div w:id="607002533">
      <w:bodyDiv w:val="1"/>
      <w:marLeft w:val="0"/>
      <w:marRight w:val="0"/>
      <w:marTop w:val="0"/>
      <w:marBottom w:val="0"/>
      <w:divBdr>
        <w:top w:val="none" w:sz="0" w:space="0" w:color="auto"/>
        <w:left w:val="none" w:sz="0" w:space="0" w:color="auto"/>
        <w:bottom w:val="none" w:sz="0" w:space="0" w:color="auto"/>
        <w:right w:val="none" w:sz="0" w:space="0" w:color="auto"/>
      </w:divBdr>
    </w:div>
    <w:div w:id="620036811">
      <w:bodyDiv w:val="1"/>
      <w:marLeft w:val="0"/>
      <w:marRight w:val="0"/>
      <w:marTop w:val="0"/>
      <w:marBottom w:val="0"/>
      <w:divBdr>
        <w:top w:val="none" w:sz="0" w:space="0" w:color="auto"/>
        <w:left w:val="none" w:sz="0" w:space="0" w:color="auto"/>
        <w:bottom w:val="none" w:sz="0" w:space="0" w:color="auto"/>
        <w:right w:val="none" w:sz="0" w:space="0" w:color="auto"/>
      </w:divBdr>
    </w:div>
    <w:div w:id="818692701">
      <w:bodyDiv w:val="1"/>
      <w:marLeft w:val="0"/>
      <w:marRight w:val="0"/>
      <w:marTop w:val="0"/>
      <w:marBottom w:val="0"/>
      <w:divBdr>
        <w:top w:val="none" w:sz="0" w:space="0" w:color="auto"/>
        <w:left w:val="none" w:sz="0" w:space="0" w:color="auto"/>
        <w:bottom w:val="none" w:sz="0" w:space="0" w:color="auto"/>
        <w:right w:val="none" w:sz="0" w:space="0" w:color="auto"/>
      </w:divBdr>
    </w:div>
    <w:div w:id="1067342847">
      <w:bodyDiv w:val="1"/>
      <w:marLeft w:val="0"/>
      <w:marRight w:val="0"/>
      <w:marTop w:val="0"/>
      <w:marBottom w:val="0"/>
      <w:divBdr>
        <w:top w:val="none" w:sz="0" w:space="0" w:color="auto"/>
        <w:left w:val="none" w:sz="0" w:space="0" w:color="auto"/>
        <w:bottom w:val="none" w:sz="0" w:space="0" w:color="auto"/>
        <w:right w:val="none" w:sz="0" w:space="0" w:color="auto"/>
      </w:divBdr>
    </w:div>
    <w:div w:id="1278440147">
      <w:bodyDiv w:val="1"/>
      <w:marLeft w:val="0"/>
      <w:marRight w:val="0"/>
      <w:marTop w:val="0"/>
      <w:marBottom w:val="0"/>
      <w:divBdr>
        <w:top w:val="none" w:sz="0" w:space="0" w:color="auto"/>
        <w:left w:val="none" w:sz="0" w:space="0" w:color="auto"/>
        <w:bottom w:val="none" w:sz="0" w:space="0" w:color="auto"/>
        <w:right w:val="none" w:sz="0" w:space="0" w:color="auto"/>
      </w:divBdr>
      <w:divsChild>
        <w:div w:id="110520346">
          <w:marLeft w:val="0"/>
          <w:marRight w:val="0"/>
          <w:marTop w:val="0"/>
          <w:marBottom w:val="0"/>
          <w:divBdr>
            <w:top w:val="none" w:sz="0" w:space="0" w:color="auto"/>
            <w:left w:val="none" w:sz="0" w:space="0" w:color="auto"/>
            <w:bottom w:val="none" w:sz="0" w:space="0" w:color="auto"/>
            <w:right w:val="none" w:sz="0" w:space="0" w:color="auto"/>
          </w:divBdr>
          <w:divsChild>
            <w:div w:id="1393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326">
      <w:bodyDiv w:val="1"/>
      <w:marLeft w:val="0"/>
      <w:marRight w:val="0"/>
      <w:marTop w:val="0"/>
      <w:marBottom w:val="0"/>
      <w:divBdr>
        <w:top w:val="none" w:sz="0" w:space="0" w:color="auto"/>
        <w:left w:val="none" w:sz="0" w:space="0" w:color="auto"/>
        <w:bottom w:val="none" w:sz="0" w:space="0" w:color="auto"/>
        <w:right w:val="none" w:sz="0" w:space="0" w:color="auto"/>
      </w:divBdr>
    </w:div>
    <w:div w:id="1827162321">
      <w:bodyDiv w:val="1"/>
      <w:marLeft w:val="0"/>
      <w:marRight w:val="0"/>
      <w:marTop w:val="0"/>
      <w:marBottom w:val="0"/>
      <w:divBdr>
        <w:top w:val="none" w:sz="0" w:space="0" w:color="auto"/>
        <w:left w:val="none" w:sz="0" w:space="0" w:color="auto"/>
        <w:bottom w:val="none" w:sz="0" w:space="0" w:color="auto"/>
        <w:right w:val="none" w:sz="0" w:space="0" w:color="auto"/>
      </w:divBdr>
    </w:div>
    <w:div w:id="1918788406">
      <w:bodyDiv w:val="1"/>
      <w:marLeft w:val="0"/>
      <w:marRight w:val="0"/>
      <w:marTop w:val="0"/>
      <w:marBottom w:val="0"/>
      <w:divBdr>
        <w:top w:val="none" w:sz="0" w:space="0" w:color="auto"/>
        <w:left w:val="none" w:sz="0" w:space="0" w:color="auto"/>
        <w:bottom w:val="none" w:sz="0" w:space="0" w:color="auto"/>
        <w:right w:val="none" w:sz="0" w:space="0" w:color="auto"/>
      </w:divBdr>
    </w:div>
    <w:div w:id="2092310457">
      <w:bodyDiv w:val="1"/>
      <w:marLeft w:val="0"/>
      <w:marRight w:val="0"/>
      <w:marTop w:val="0"/>
      <w:marBottom w:val="0"/>
      <w:divBdr>
        <w:top w:val="none" w:sz="0" w:space="0" w:color="auto"/>
        <w:left w:val="none" w:sz="0" w:space="0" w:color="auto"/>
        <w:bottom w:val="none" w:sz="0" w:space="0" w:color="auto"/>
        <w:right w:val="none" w:sz="0" w:space="0" w:color="auto"/>
      </w:divBdr>
      <w:divsChild>
        <w:div w:id="1124346426">
          <w:marLeft w:val="0"/>
          <w:marRight w:val="0"/>
          <w:marTop w:val="0"/>
          <w:marBottom w:val="0"/>
          <w:divBdr>
            <w:top w:val="none" w:sz="0" w:space="0" w:color="auto"/>
            <w:left w:val="none" w:sz="0" w:space="0" w:color="auto"/>
            <w:bottom w:val="none" w:sz="0" w:space="0" w:color="auto"/>
            <w:right w:val="none" w:sz="0" w:space="0" w:color="auto"/>
          </w:divBdr>
          <w:divsChild>
            <w:div w:id="1046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469">
      <w:bodyDiv w:val="1"/>
      <w:marLeft w:val="0"/>
      <w:marRight w:val="0"/>
      <w:marTop w:val="0"/>
      <w:marBottom w:val="0"/>
      <w:divBdr>
        <w:top w:val="none" w:sz="0" w:space="0" w:color="auto"/>
        <w:left w:val="none" w:sz="0" w:space="0" w:color="auto"/>
        <w:bottom w:val="none" w:sz="0" w:space="0" w:color="auto"/>
        <w:right w:val="none" w:sz="0" w:space="0" w:color="auto"/>
      </w:divBdr>
      <w:divsChild>
        <w:div w:id="683171346">
          <w:marLeft w:val="0"/>
          <w:marRight w:val="0"/>
          <w:marTop w:val="0"/>
          <w:marBottom w:val="0"/>
          <w:divBdr>
            <w:top w:val="none" w:sz="0" w:space="0" w:color="auto"/>
            <w:left w:val="none" w:sz="0" w:space="0" w:color="auto"/>
            <w:bottom w:val="none" w:sz="0" w:space="0" w:color="auto"/>
            <w:right w:val="none" w:sz="0" w:space="0" w:color="auto"/>
          </w:divBdr>
          <w:divsChild>
            <w:div w:id="960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litxy\Research%20Module%20-%20Final%20Submission\Unit%209\Unit%209%20Exercises%20-%20Workbooks\Exa%209.1D.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litxy\Research%20Module%20-%20Final%20Submission\Unit%209\Unit%209%20Exercises%20-%20Workbooks\Exa%209.1D.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D:\litxy\Research%20Module%20-%20Final%20Submission\Unit%209\Unit%209%20Examples%20-%20Workbooks\Exa%209.2E.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D:\litxy\Research%20Module%20-%20Final%20Submission\Unit%209\Unit%209%20Examples%20-%20Workbooks\Exa%209.3B.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litxy\Research%20Module%20-%20Final%20Submission\Unit%209\Unit%209%20Examples%20-%20Workbooks\Exa%209.3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Area 1</a:t>
            </a:r>
          </a:p>
        </c:rich>
      </c:tx>
      <c:overlay val="0"/>
    </c:title>
    <c:autoTitleDeleted val="0"/>
    <c:plotArea>
      <c:layout/>
      <c:barChart>
        <c:barDir val="col"/>
        <c:grouping val="clustered"/>
        <c:varyColors val="0"/>
        <c:ser>
          <c:idx val="0"/>
          <c:order val="0"/>
          <c:invertIfNegative val="0"/>
          <c:cat>
            <c:strRef>
              <c:f>Sheet1!$D$15:$D$17</c:f>
              <c:strCache>
                <c:ptCount val="3"/>
                <c:pt idx="0">
                  <c:v>A</c:v>
                </c:pt>
                <c:pt idx="1">
                  <c:v>B</c:v>
                </c:pt>
                <c:pt idx="2">
                  <c:v>Other</c:v>
                </c:pt>
              </c:strCache>
            </c:strRef>
          </c:cat>
          <c:val>
            <c:numRef>
              <c:f>Sheet1!$E$15:$E$17</c:f>
              <c:numCache>
                <c:formatCode>#,##0.0</c:formatCode>
                <c:ptCount val="3"/>
                <c:pt idx="0">
                  <c:v>15.714285714285714</c:v>
                </c:pt>
                <c:pt idx="1">
                  <c:v>24.285714285714285</c:v>
                </c:pt>
                <c:pt idx="2">
                  <c:v>60</c:v>
                </c:pt>
              </c:numCache>
            </c:numRef>
          </c:val>
          <c:extLst>
            <c:ext xmlns:c16="http://schemas.microsoft.com/office/drawing/2014/chart" uri="{C3380CC4-5D6E-409C-BE32-E72D297353CC}">
              <c16:uniqueId val="{00000000-156F-4581-B8C3-53D9AA2650C9}"/>
            </c:ext>
          </c:extLst>
        </c:ser>
        <c:dLbls>
          <c:showLegendKey val="0"/>
          <c:showVal val="0"/>
          <c:showCatName val="0"/>
          <c:showSerName val="0"/>
          <c:showPercent val="0"/>
          <c:showBubbleSize val="0"/>
        </c:dLbls>
        <c:gapWidth val="150"/>
        <c:axId val="95354240"/>
        <c:axId val="115398528"/>
      </c:barChart>
      <c:catAx>
        <c:axId val="95354240"/>
        <c:scaling>
          <c:orientation val="minMax"/>
        </c:scaling>
        <c:delete val="0"/>
        <c:axPos val="b"/>
        <c:title>
          <c:tx>
            <c:rich>
              <a:bodyPr/>
              <a:lstStyle/>
              <a:p>
                <a:pPr>
                  <a:defRPr/>
                </a:pPr>
                <a:r>
                  <a:rPr lang="en-GB"/>
                  <a:t>Brand</a:t>
                </a:r>
              </a:p>
            </c:rich>
          </c:tx>
          <c:overlay val="0"/>
        </c:title>
        <c:numFmt formatCode="General" sourceLinked="0"/>
        <c:majorTickMark val="out"/>
        <c:minorTickMark val="none"/>
        <c:tickLblPos val="nextTo"/>
        <c:crossAx val="115398528"/>
        <c:crosses val="autoZero"/>
        <c:auto val="1"/>
        <c:lblAlgn val="ctr"/>
        <c:lblOffset val="100"/>
        <c:noMultiLvlLbl val="0"/>
      </c:catAx>
      <c:valAx>
        <c:axId val="115398528"/>
        <c:scaling>
          <c:orientation val="minMax"/>
        </c:scaling>
        <c:delete val="0"/>
        <c:axPos val="l"/>
        <c:title>
          <c:tx>
            <c:rich>
              <a:bodyPr rot="-5400000" vert="horz"/>
              <a:lstStyle/>
              <a:p>
                <a:pPr>
                  <a:defRPr/>
                </a:pPr>
                <a:r>
                  <a:rPr lang="en-US"/>
                  <a:t>Percentage</a:t>
                </a:r>
              </a:p>
            </c:rich>
          </c:tx>
          <c:overlay val="0"/>
        </c:title>
        <c:numFmt formatCode="#,##0.0" sourceLinked="1"/>
        <c:majorTickMark val="out"/>
        <c:minorTickMark val="none"/>
        <c:tickLblPos val="nextTo"/>
        <c:crossAx val="953542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solidFill>
                  <a:sysClr val="windowText" lastClr="000000"/>
                </a:solidFill>
              </a:rPr>
              <a:t>Area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Sheet1!$D$15:$D$17</c:f>
              <c:strCache>
                <c:ptCount val="3"/>
                <c:pt idx="0">
                  <c:v>A</c:v>
                </c:pt>
                <c:pt idx="1">
                  <c:v>B</c:v>
                </c:pt>
                <c:pt idx="2">
                  <c:v>Other</c:v>
                </c:pt>
              </c:strCache>
            </c:strRef>
          </c:cat>
          <c:val>
            <c:numRef>
              <c:f>Sheet1!$F$15:$F$17</c:f>
              <c:numCache>
                <c:formatCode>#,##0.0</c:formatCode>
                <c:ptCount val="3"/>
                <c:pt idx="0">
                  <c:v>21.111111111111111</c:v>
                </c:pt>
                <c:pt idx="1">
                  <c:v>33.333333333333336</c:v>
                </c:pt>
                <c:pt idx="2">
                  <c:v>45.555555555555557</c:v>
                </c:pt>
              </c:numCache>
            </c:numRef>
          </c:val>
          <c:extLst>
            <c:ext xmlns:c16="http://schemas.microsoft.com/office/drawing/2014/chart" uri="{C3380CC4-5D6E-409C-BE32-E72D297353CC}">
              <c16:uniqueId val="{00000000-605C-4CBA-9611-DFE684F89C9D}"/>
            </c:ext>
          </c:extLst>
        </c:ser>
        <c:dLbls>
          <c:showLegendKey val="0"/>
          <c:showVal val="0"/>
          <c:showCatName val="0"/>
          <c:showSerName val="0"/>
          <c:showPercent val="0"/>
          <c:showBubbleSize val="0"/>
        </c:dLbls>
        <c:gapWidth val="219"/>
        <c:overlap val="-27"/>
        <c:axId val="1475908879"/>
        <c:axId val="1475909359"/>
      </c:barChart>
      <c:catAx>
        <c:axId val="1475908879"/>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D" b="1">
                    <a:solidFill>
                      <a:sysClr val="windowText" lastClr="000000"/>
                    </a:solidFill>
                  </a:rPr>
                  <a:t>Brand</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09359"/>
        <c:crosses val="autoZero"/>
        <c:auto val="1"/>
        <c:lblAlgn val="ctr"/>
        <c:lblOffset val="100"/>
        <c:noMultiLvlLbl val="0"/>
      </c:catAx>
      <c:valAx>
        <c:axId val="147590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D" b="1">
                    <a:solidFill>
                      <a:sysClr val="windowText" lastClr="000000"/>
                    </a:solidFill>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9088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Heather Species</a:t>
            </a:r>
            <a:r>
              <a:rPr lang="en-ID" baseline="0"/>
              <a:t> Distribution</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barChart>
        <c:barDir val="col"/>
        <c:grouping val="clustered"/>
        <c:varyColors val="0"/>
        <c:ser>
          <c:idx val="0"/>
          <c:order val="0"/>
          <c:tx>
            <c:strRef>
              <c:f>Sheet1!$B$12</c:f>
              <c:strCache>
                <c:ptCount val="1"/>
                <c:pt idx="0">
                  <c:v>Location A</c:v>
                </c:pt>
              </c:strCache>
            </c:strRef>
          </c:tx>
          <c:spPr>
            <a:solidFill>
              <a:schemeClr val="accent1"/>
            </a:solidFill>
            <a:ln>
              <a:noFill/>
            </a:ln>
            <a:effectLst/>
          </c:spPr>
          <c:invertIfNegative val="0"/>
          <c:cat>
            <c:strRef>
              <c:f>Sheet1!$A$13:$A$15</c:f>
              <c:strCache>
                <c:ptCount val="3"/>
                <c:pt idx="0">
                  <c:v>Absent</c:v>
                </c:pt>
                <c:pt idx="1">
                  <c:v>Sparse</c:v>
                </c:pt>
                <c:pt idx="2">
                  <c:v>Abundant</c:v>
                </c:pt>
              </c:strCache>
            </c:strRef>
          </c:cat>
          <c:val>
            <c:numRef>
              <c:f>Sheet1!$B$13:$B$15</c:f>
              <c:numCache>
                <c:formatCode>#,##0.0</c:formatCode>
                <c:ptCount val="3"/>
                <c:pt idx="0">
                  <c:v>14.285714285714286</c:v>
                </c:pt>
                <c:pt idx="1">
                  <c:v>39.285714285714285</c:v>
                </c:pt>
                <c:pt idx="2">
                  <c:v>46.428571428571431</c:v>
                </c:pt>
              </c:numCache>
            </c:numRef>
          </c:val>
          <c:extLst>
            <c:ext xmlns:c16="http://schemas.microsoft.com/office/drawing/2014/chart" uri="{C3380CC4-5D6E-409C-BE32-E72D297353CC}">
              <c16:uniqueId val="{00000000-EAEA-4127-BC9F-6475762CE831}"/>
            </c:ext>
          </c:extLst>
        </c:ser>
        <c:ser>
          <c:idx val="1"/>
          <c:order val="1"/>
          <c:tx>
            <c:strRef>
              <c:f>Sheet1!$C$12</c:f>
              <c:strCache>
                <c:ptCount val="1"/>
                <c:pt idx="0">
                  <c:v>Location B</c:v>
                </c:pt>
              </c:strCache>
            </c:strRef>
          </c:tx>
          <c:spPr>
            <a:solidFill>
              <a:schemeClr val="accent2"/>
            </a:solidFill>
            <a:ln>
              <a:noFill/>
            </a:ln>
            <a:effectLst/>
          </c:spPr>
          <c:invertIfNegative val="0"/>
          <c:cat>
            <c:strRef>
              <c:f>Sheet1!$A$13:$A$15</c:f>
              <c:strCache>
                <c:ptCount val="3"/>
                <c:pt idx="0">
                  <c:v>Absent</c:v>
                </c:pt>
                <c:pt idx="1">
                  <c:v>Sparse</c:v>
                </c:pt>
                <c:pt idx="2">
                  <c:v>Abundant</c:v>
                </c:pt>
              </c:strCache>
            </c:strRef>
          </c:cat>
          <c:val>
            <c:numRef>
              <c:f>Sheet1!$C$13:$C$15</c:f>
              <c:numCache>
                <c:formatCode>#,##0.0</c:formatCode>
                <c:ptCount val="3"/>
                <c:pt idx="0">
                  <c:v>45.454545454545453</c:v>
                </c:pt>
                <c:pt idx="1">
                  <c:v>31.818181818181817</c:v>
                </c:pt>
                <c:pt idx="2">
                  <c:v>22.727272727272727</c:v>
                </c:pt>
              </c:numCache>
            </c:numRef>
          </c:val>
          <c:extLst>
            <c:ext xmlns:c16="http://schemas.microsoft.com/office/drawing/2014/chart" uri="{C3380CC4-5D6E-409C-BE32-E72D297353CC}">
              <c16:uniqueId val="{00000001-EAEA-4127-BC9F-6475762CE831}"/>
            </c:ext>
          </c:extLst>
        </c:ser>
        <c:dLbls>
          <c:showLegendKey val="0"/>
          <c:showVal val="0"/>
          <c:showCatName val="0"/>
          <c:showSerName val="0"/>
          <c:showPercent val="0"/>
          <c:showBubbleSize val="0"/>
        </c:dLbls>
        <c:gapWidth val="219"/>
        <c:overlap val="-27"/>
        <c:axId val="1574844015"/>
        <c:axId val="1574840655"/>
      </c:barChart>
      <c:catAx>
        <c:axId val="1574844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840655"/>
        <c:crosses val="autoZero"/>
        <c:auto val="1"/>
        <c:lblAlgn val="ctr"/>
        <c:lblOffset val="100"/>
        <c:noMultiLvlLbl val="0"/>
      </c:catAx>
      <c:valAx>
        <c:axId val="1574840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84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Diet A</a:t>
            </a:r>
          </a:p>
        </c:rich>
      </c:tx>
      <c:overlay val="0"/>
    </c:title>
    <c:autoTitleDeleted val="0"/>
    <c:plotArea>
      <c:layout/>
      <c:barChart>
        <c:barDir val="col"/>
        <c:grouping val="clustered"/>
        <c:varyColors val="0"/>
        <c:ser>
          <c:idx val="0"/>
          <c:order val="0"/>
          <c:spPr>
            <a:ln>
              <a:solidFill>
                <a:schemeClr val="tx1"/>
              </a:solidFill>
            </a:ln>
          </c:spPr>
          <c:invertIfNegative val="0"/>
          <c:cat>
            <c:numRef>
              <c:f>Diets!$K$4:$K$10</c:f>
              <c:numCache>
                <c:formatCode>General</c:formatCode>
                <c:ptCount val="7"/>
                <c:pt idx="0">
                  <c:v>-1</c:v>
                </c:pt>
                <c:pt idx="1">
                  <c:v>1</c:v>
                </c:pt>
                <c:pt idx="2">
                  <c:v>3</c:v>
                </c:pt>
                <c:pt idx="3">
                  <c:v>5</c:v>
                </c:pt>
                <c:pt idx="4">
                  <c:v>7</c:v>
                </c:pt>
                <c:pt idx="5">
                  <c:v>9</c:v>
                </c:pt>
                <c:pt idx="6">
                  <c:v>11</c:v>
                </c:pt>
              </c:numCache>
            </c:numRef>
          </c:cat>
          <c:val>
            <c:numRef>
              <c:f>Diets!$L$4:$L$10</c:f>
              <c:numCache>
                <c:formatCode>0.00</c:formatCode>
                <c:ptCount val="7"/>
                <c:pt idx="0">
                  <c:v>0.02</c:v>
                </c:pt>
                <c:pt idx="1">
                  <c:v>0.06</c:v>
                </c:pt>
                <c:pt idx="2">
                  <c:v>0.2</c:v>
                </c:pt>
                <c:pt idx="3">
                  <c:v>0.3</c:v>
                </c:pt>
                <c:pt idx="4">
                  <c:v>0.3</c:v>
                </c:pt>
                <c:pt idx="5">
                  <c:v>0.1</c:v>
                </c:pt>
                <c:pt idx="6">
                  <c:v>0.02</c:v>
                </c:pt>
              </c:numCache>
            </c:numRef>
          </c:val>
          <c:extLst>
            <c:ext xmlns:c16="http://schemas.microsoft.com/office/drawing/2014/chart" uri="{C3380CC4-5D6E-409C-BE32-E72D297353CC}">
              <c16:uniqueId val="{00000000-B844-4DC6-B4CD-C56755105C7A}"/>
            </c:ext>
          </c:extLst>
        </c:ser>
        <c:dLbls>
          <c:showLegendKey val="0"/>
          <c:showVal val="0"/>
          <c:showCatName val="0"/>
          <c:showSerName val="0"/>
          <c:showPercent val="0"/>
          <c:showBubbleSize val="0"/>
        </c:dLbls>
        <c:gapWidth val="0"/>
        <c:axId val="50224512"/>
        <c:axId val="67326336"/>
      </c:barChart>
      <c:catAx>
        <c:axId val="50224512"/>
        <c:scaling>
          <c:orientation val="minMax"/>
        </c:scaling>
        <c:delete val="0"/>
        <c:axPos val="b"/>
        <c:title>
          <c:tx>
            <c:rich>
              <a:bodyPr/>
              <a:lstStyle/>
              <a:p>
                <a:pPr>
                  <a:defRPr/>
                </a:pPr>
                <a:r>
                  <a:rPr lang="en-GB"/>
                  <a:t>Weight Loss (kg)</a:t>
                </a:r>
              </a:p>
            </c:rich>
          </c:tx>
          <c:overlay val="0"/>
        </c:title>
        <c:numFmt formatCode="General" sourceLinked="1"/>
        <c:majorTickMark val="none"/>
        <c:minorTickMark val="none"/>
        <c:tickLblPos val="nextTo"/>
        <c:crossAx val="67326336"/>
        <c:crosses val="autoZero"/>
        <c:auto val="1"/>
        <c:lblAlgn val="ctr"/>
        <c:lblOffset val="100"/>
        <c:noMultiLvlLbl val="0"/>
      </c:catAx>
      <c:valAx>
        <c:axId val="67326336"/>
        <c:scaling>
          <c:orientation val="minMax"/>
        </c:scaling>
        <c:delete val="0"/>
        <c:axPos val="l"/>
        <c:title>
          <c:tx>
            <c:rich>
              <a:bodyPr/>
              <a:lstStyle/>
              <a:p>
                <a:pPr>
                  <a:defRPr/>
                </a:pPr>
                <a:r>
                  <a:rPr lang="en-US"/>
                  <a:t>Relative Frequerncy</a:t>
                </a:r>
              </a:p>
            </c:rich>
          </c:tx>
          <c:overlay val="0"/>
        </c:title>
        <c:numFmt formatCode="0.00" sourceLinked="1"/>
        <c:majorTickMark val="out"/>
        <c:minorTickMark val="none"/>
        <c:tickLblPos val="nextTo"/>
        <c:crossAx val="5022451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ID" b="1">
                <a:solidFill>
                  <a:sysClr val="windowText" lastClr="000000"/>
                </a:solidFill>
              </a:rPr>
              <a:t>Diet B</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chemeClr val="tx1"/>
              </a:solidFill>
            </a:ln>
            <a:effectLst/>
          </c:spPr>
          <c:invertIfNegative val="0"/>
          <c:cat>
            <c:numRef>
              <c:f>Diets!$K$41:$K$47</c:f>
              <c:numCache>
                <c:formatCode>General</c:formatCode>
                <c:ptCount val="7"/>
                <c:pt idx="0">
                  <c:v>-1</c:v>
                </c:pt>
                <c:pt idx="1">
                  <c:v>1</c:v>
                </c:pt>
                <c:pt idx="2">
                  <c:v>3</c:v>
                </c:pt>
                <c:pt idx="3">
                  <c:v>5</c:v>
                </c:pt>
                <c:pt idx="4">
                  <c:v>7</c:v>
                </c:pt>
                <c:pt idx="5">
                  <c:v>9</c:v>
                </c:pt>
                <c:pt idx="6">
                  <c:v>11</c:v>
                </c:pt>
              </c:numCache>
            </c:numRef>
          </c:cat>
          <c:val>
            <c:numRef>
              <c:f>Diets!$L$41:$L$47</c:f>
              <c:numCache>
                <c:formatCode>0.00</c:formatCode>
                <c:ptCount val="7"/>
                <c:pt idx="0">
                  <c:v>0.06</c:v>
                </c:pt>
                <c:pt idx="1">
                  <c:v>0.2</c:v>
                </c:pt>
                <c:pt idx="2">
                  <c:v>0.3</c:v>
                </c:pt>
                <c:pt idx="3">
                  <c:v>0.22</c:v>
                </c:pt>
                <c:pt idx="4">
                  <c:v>0.16</c:v>
                </c:pt>
                <c:pt idx="5">
                  <c:v>0.04</c:v>
                </c:pt>
                <c:pt idx="6">
                  <c:v>0.02</c:v>
                </c:pt>
              </c:numCache>
            </c:numRef>
          </c:val>
          <c:extLst>
            <c:ext xmlns:c16="http://schemas.microsoft.com/office/drawing/2014/chart" uri="{C3380CC4-5D6E-409C-BE32-E72D297353CC}">
              <c16:uniqueId val="{00000000-1E60-4212-9E78-D9715B7DB3D1}"/>
            </c:ext>
          </c:extLst>
        </c:ser>
        <c:dLbls>
          <c:showLegendKey val="0"/>
          <c:showVal val="0"/>
          <c:showCatName val="0"/>
          <c:showSerName val="0"/>
          <c:showPercent val="0"/>
          <c:showBubbleSize val="0"/>
        </c:dLbls>
        <c:gapWidth val="0"/>
        <c:axId val="1430534735"/>
        <c:axId val="1430534255"/>
      </c:barChart>
      <c:catAx>
        <c:axId val="1430534735"/>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D" b="1">
                    <a:solidFill>
                      <a:sysClr val="windowText" lastClr="000000"/>
                    </a:solidFill>
                  </a:rPr>
                  <a:t>Weight Loss (kg)</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534255"/>
        <c:crosses val="autoZero"/>
        <c:auto val="1"/>
        <c:lblAlgn val="ctr"/>
        <c:lblOffset val="100"/>
        <c:noMultiLvlLbl val="0"/>
      </c:catAx>
      <c:valAx>
        <c:axId val="1430534255"/>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D" b="1">
                    <a:solidFill>
                      <a:sysClr val="windowText" lastClr="000000"/>
                    </a:solidFill>
                  </a:rPr>
                  <a:t>Relative Frequency</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534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542</Words>
  <Characters>3092</Characters>
  <Application>Microsoft Office Word</Application>
  <DocSecurity>0</DocSecurity>
  <Lines>25</Lines>
  <Paragraphs>7</Paragraphs>
  <ScaleCrop>false</ScaleCrop>
  <Company>EY</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Fiqki Azizah</dc:creator>
  <cp:keywords/>
  <dc:description/>
  <cp:lastModifiedBy>Fiqki Azizah</cp:lastModifiedBy>
  <cp:revision>16</cp:revision>
  <dcterms:created xsi:type="dcterms:W3CDTF">2025-10-20T16:07:00Z</dcterms:created>
  <dcterms:modified xsi:type="dcterms:W3CDTF">2025-10-20T17:29:00Z</dcterms:modified>
</cp:coreProperties>
</file>