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卫星遥感工业气体排放与热辐射反演区域经济发展水平</w:t>
      </w:r>
    </w:p>
    <w:p>
      <w:pPr>
        <w:pStyle w:val="Heading2"/>
        <w:jc w:val="center"/>
      </w:pPr>
      <w:r>
        <w:t>国内外研究现状深度综述</w:t>
      </w:r>
    </w:p>
    <w:p>
      <w:pPr>
        <w:pStyle w:val="Heading1"/>
      </w:pPr>
      <w:r>
        <w:t>摘要</w:t>
      </w:r>
    </w:p>
    <w:p>
      <w:r>
        <w:t>本文系统梳理了利用卫星遥感数据——特别是工业气体排放（NO₂/SO₂）和区域热辐射异常——反演区域经济发展水平的研究现状。研究发现，该领域经历了从单一夜间灯光（NTL）数据到多源遥感数据融合、从线性统计模型到机器学习方法的演进。</w:t>
      </w:r>
    </w:p>
    <w:p>
      <w:pPr>
        <w:pStyle w:val="Heading1"/>
      </w:pPr>
      <w:r>
        <w:t>1. 引言</w:t>
      </w:r>
    </w:p>
    <w:p>
      <w:pPr>
        <w:pStyle w:val="Heading2"/>
      </w:pPr>
      <w:r>
        <w:t>1.1 研究背景</w:t>
      </w:r>
    </w:p>
    <w:p>
      <w:r>
        <w:t>传统的国内生产总值（GDP）统计存在数据滞后、空间分辨率低、统计口径不一致等问题。卫星遥感技术为经济监测提供了全新的视角，能够在更精细的时空尺度上捕捉经济活动信号。</w:t>
      </w:r>
    </w:p>
    <w:p>
      <w:pPr>
        <w:pStyle w:val="Heading1"/>
      </w:pPr>
      <w:r>
        <w:t>2. 国际研究现状</w:t>
      </w:r>
    </w:p>
    <w:p>
      <w:pPr>
        <w:pStyle w:val="Heading2"/>
      </w:pPr>
      <w:r>
        <w:t>2.1 夜间灯光数据的基础地位</w:t>
      </w:r>
    </w:p>
    <w:p>
      <w:r>
        <w:t>Henderson, Storeygard &amp; Weil（2012）在American Economic Review发表的开创性研究建立了NTL与GDP增长的统计框架，发现灯光强度增长1%对应GDP增长约0.3%。</w:t>
      </w:r>
    </w:p>
    <w:p>
      <w:pPr>
        <w:pStyle w:val="Heading2"/>
      </w:pPr>
      <w:r>
        <w:t>2.2 NO₂作为新兴经济指标的突破</w:t>
      </w:r>
    </w:p>
    <w:p>
      <w:r>
        <w:t>世界银行2024年工作论文《Measuring Global Economic Activity Using Air Pollution》是这一领域的里程碑研究。核心贡献：</w:t>
      </w:r>
    </w:p>
    <w:p>
      <w:pPr>
        <w:pStyle w:val="ListBullet"/>
      </w:pPr>
      <w:r>
        <w:t>NO₂大气寿命仅数小时，空间定位精准，能反映当期经济活动</w:t>
      </w:r>
    </w:p>
    <w:p>
      <w:pPr>
        <w:pStyle w:val="ListBullet"/>
      </w:pPr>
      <w:r>
        <w:t>日间观测：相比NTL的夜间观测，NO₂在日间经济活跃期被检测</w:t>
      </w:r>
    </w:p>
    <w:p>
      <w:pPr>
        <w:pStyle w:val="ListBullet"/>
      </w:pPr>
      <w:r>
        <w:t>抗干扰性：不受云层、冲突、数据操纵影响</w:t>
      </w:r>
    </w:p>
    <w:p>
      <w:pPr>
        <w:pStyle w:val="Heading1"/>
      </w:pPr>
      <w:r>
        <w:t>3. 中国本土研究现状</w:t>
      </w:r>
    </w:p>
    <w:p>
      <w:pPr>
        <w:pStyle w:val="Heading2"/>
      </w:pPr>
      <w:r>
        <w:t>3.1 NTL数据校正与应用</w:t>
      </w:r>
    </w:p>
    <w:p>
      <w:r>
        <w:t>中国学者在DMSP/OLS数据校正方面做出了重要贡献：</w:t>
      </w:r>
    </w:p>
    <w:p>
      <w:pPr>
        <w:pStyle w:val="ListBullet"/>
      </w:pPr>
      <w:r>
        <w:t>相互校正：解决多传感器数据不一致问题</w:t>
      </w:r>
    </w:p>
    <w:p>
      <w:pPr>
        <w:pStyle w:val="ListBullet"/>
      </w:pPr>
      <w:r>
        <w:t>饱和校正：基于辐射定标产品或辅助数据</w:t>
      </w:r>
    </w:p>
    <w:p>
      <w:pPr>
        <w:pStyle w:val="ListBullet"/>
      </w:pPr>
      <w:r>
        <w:t>连续性校正：基于不变目标区域法</w:t>
      </w:r>
    </w:p>
    <w:p>
      <w:pPr>
        <w:pStyle w:val="Heading2"/>
      </w:pPr>
      <w:r>
        <w:t>3.2 机器学习方法</w:t>
      </w:r>
    </w:p>
    <w:p>
      <w:r>
        <w:t>随机森林（RF）：在GDP空间化中表现最优</w:t>
      </w:r>
    </w:p>
    <w:p>
      <w:r>
        <w:t>XGBoost：在第二产业GDP建模中精度最高</w:t>
      </w:r>
    </w:p>
    <w:p>
      <w:r>
        <w:t>地理加权随机森林（GWRF）：考虑空间异质性</w:t>
      </w:r>
    </w:p>
    <w:p>
      <w:pPr>
        <w:pStyle w:val="Heading1"/>
      </w:pPr>
      <w:r>
        <w:t>4. 方法论对比分析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R²范围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线性模型</w:t>
            </w:r>
          </w:p>
        </w:tc>
        <w:tc>
          <w:tcPr>
            <w:tcW w:type="dxa" w:w="2880"/>
          </w:tcPr>
          <w:p>
            <w:r>
              <w:t>0.70-0.80</w:t>
            </w:r>
          </w:p>
        </w:tc>
        <w:tc>
          <w:tcPr>
            <w:tcW w:type="dxa" w:w="2880"/>
          </w:tcPr>
          <w:p>
            <w:r>
              <w:t>简单，无法捕捉非线性关系</w:t>
            </w:r>
          </w:p>
        </w:tc>
      </w:tr>
      <w:tr>
        <w:tc>
          <w:tcPr>
            <w:tcW w:type="dxa" w:w="2880"/>
          </w:tcPr>
          <w:p>
            <w:r>
              <w:t>随机森林</w:t>
            </w:r>
          </w:p>
        </w:tc>
        <w:tc>
          <w:tcPr>
            <w:tcW w:type="dxa" w:w="2880"/>
          </w:tcPr>
          <w:p>
            <w:r>
              <w:t>0.85-0.90</w:t>
            </w:r>
          </w:p>
        </w:tc>
        <w:tc>
          <w:tcPr>
            <w:tcW w:type="dxa" w:w="2880"/>
          </w:tcPr>
          <w:p>
            <w:r>
              <w:t>精度高，可解释性强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0.87-0.92</w:t>
            </w:r>
          </w:p>
        </w:tc>
        <w:tc>
          <w:tcPr>
            <w:tcW w:type="dxa" w:w="2880"/>
          </w:tcPr>
          <w:p>
            <w:r>
              <w:t>第二产业最优</w:t>
            </w:r>
          </w:p>
        </w:tc>
      </w:tr>
    </w:tbl>
    <w:p>
      <w:pPr>
        <w:pStyle w:val="Heading1"/>
      </w:pPr>
      <w:r>
        <w:t>5. 上海/北京研究的适配方案</w:t>
      </w:r>
    </w:p>
    <w:p>
      <w:pPr>
        <w:pStyle w:val="Heading2"/>
      </w:pPr>
      <w:r>
        <w:t>5.1 数据选择建议</w:t>
      </w:r>
    </w:p>
    <w:p>
      <w:r>
        <w:t>NTL：NPP-VIIRS（2012至今）+ SDGSAT-1微光（2021至今）</w:t>
      </w:r>
    </w:p>
    <w:p>
      <w:r>
        <w:t>气体排放：TROPOMI NO₂（2018至今）+ OMI SO₂（2005至今）</w:t>
      </w:r>
    </w:p>
    <w:p>
      <w:r>
        <w:t>热辐射：MODIS LST / SDGSAT-1热红外</w:t>
      </w:r>
    </w:p>
    <w:p>
      <w:pPr>
        <w:pStyle w:val="Heading2"/>
      </w:pPr>
      <w:r>
        <w:t>5.2 方法建议</w:t>
      </w:r>
    </w:p>
    <w:p>
      <w:r>
        <w:t>采用XGBoost或随机森林作为主模型</w:t>
      </w:r>
    </w:p>
    <w:p>
      <w:r>
        <w:t>分产业（一、二、三产）分别建模</w:t>
      </w:r>
    </w:p>
    <w:p>
      <w:r>
        <w:t>引入地理加权回归（GWR）处理空间异质性</w:t>
      </w:r>
    </w:p>
    <w:p>
      <w:pPr>
        <w:pStyle w:val="Heading1"/>
      </w:pPr>
      <w:r>
        <w:t>6. 结论</w:t>
      </w:r>
    </w:p>
    <w:p>
      <w:r>
        <w:t>主要发现：</w:t>
      </w:r>
    </w:p>
    <w:p>
      <w:pPr>
        <w:pStyle w:val="ListNumber"/>
      </w:pPr>
      <w:r>
        <w:t>世界银行2024年工作论文确立了NO₂作为经济指标的理论基础</w:t>
      </w:r>
    </w:p>
    <w:p>
      <w:pPr>
        <w:pStyle w:val="ListNumber"/>
      </w:pPr>
      <w:r>
        <w:t>中国研究在NTL校正和机器学习方法上国际领先</w:t>
      </w:r>
    </w:p>
    <w:p>
      <w:pPr>
        <w:pStyle w:val="ListNumber"/>
      </w:pPr>
      <w:r>
        <w:t>关键空白：污染数据反向经济评估研究不足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