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量子情报周报2026-02-17-至-2026-02-24-严格时间筛选"/>
    <w:p>
      <w:pPr>
        <w:pStyle w:val="Heading1"/>
      </w:pPr>
      <w:r>
        <w:t xml:space="preserve">【量子情报周报】2026-02-17 至 2026-02-24 (严格时间筛选)</w:t>
      </w:r>
    </w:p>
    <w:bookmarkStart w:id="20" w:name="数据说明"/>
    <w:p>
      <w:pPr>
        <w:pStyle w:val="Heading2"/>
      </w:pPr>
      <w:r>
        <w:t xml:space="preserve">数据说明</w:t>
      </w:r>
    </w:p>
    <w:p>
      <w:pPr>
        <w:pStyle w:val="FirstParagraph"/>
      </w:pPr>
      <w:r>
        <w:rPr>
          <w:bCs/>
          <w:b/>
        </w:rPr>
        <w:t xml:space="preserve">时间筛选标准</w:t>
      </w:r>
      <w:r>
        <w:t xml:space="preserve">: 本报告严格筛选2026年2月17日至2026年2月24日期间发布的量子科技相关情报，所有情报均经过时间戳验证。不在此时间范围内的数据已淘汰。</w:t>
      </w:r>
    </w:p>
    <w:p>
      <w:r>
        <w:pict>
          <v:rect style="width:0;height:1.5pt" o:hralign="center" o:hrstd="t" o:hr="t"/>
        </w:pict>
      </w:r>
    </w:p>
    <w:bookmarkEnd w:id="20"/>
    <w:bookmarkStart w:id="21" w:name="执行摘要-严格7天内-top-10"/>
    <w:p>
      <w:pPr>
        <w:pStyle w:val="Heading2"/>
      </w:pPr>
      <w:r>
        <w:t xml:space="preserve">执行摘要 (严格7天内 TOP 10)</w:t>
      </w:r>
    </w:p>
    <w:p>
      <w:pPr>
        <w:pStyle w:val="FirstParagraph"/>
      </w:pPr>
      <w:r>
        <w:t xml:space="preserve">本周期（2026-02-17至2026-02-24）量子科技领域呈现以下关键动态：</w:t>
      </w:r>
    </w:p>
    <w:p>
      <w:pPr>
        <w:numPr>
          <w:ilvl w:val="0"/>
          <w:numId w:val="1001"/>
        </w:numPr>
        <w:pStyle w:val="Compact"/>
      </w:pPr>
      <w:r>
        <w:rPr>
          <w:bCs/>
          <w:b/>
        </w:rPr>
        <w:t xml:space="preserve">本源量子”本源司南”操作系统全球开放下载</w:t>
      </w:r>
      <w:r>
        <w:t xml:space="preserve">（2月24日）- 全球首个开放下载的量子计算机操作系统，打破国际技术壁垒</w:t>
      </w:r>
    </w:p>
    <w:p>
      <w:pPr>
        <w:numPr>
          <w:ilvl w:val="0"/>
          <w:numId w:val="1001"/>
        </w:numPr>
        <w:pStyle w:val="Compact"/>
      </w:pPr>
      <w:r>
        <w:rPr>
          <w:bCs/>
          <w:b/>
        </w:rPr>
        <w:t xml:space="preserve">中国科学家实现量子信息损失控制突破</w:t>
      </w:r>
      <w:r>
        <w:t xml:space="preserve">（2月23日）- 利用78量子比特”庄子2.0”处理器，在Nature发表预热化平台控制研究成果</w:t>
      </w:r>
    </w:p>
    <w:p>
      <w:pPr>
        <w:numPr>
          <w:ilvl w:val="0"/>
          <w:numId w:val="1001"/>
        </w:numPr>
        <w:pStyle w:val="Compact"/>
      </w:pPr>
      <w:r>
        <w:rPr>
          <w:bCs/>
          <w:b/>
        </w:rPr>
        <w:t xml:space="preserve">IonQ国家安全量子需求前景重塑</w:t>
      </w:r>
      <w:r>
        <w:t xml:space="preserve">（2月24日）- 分析师预测2026年销售额达1.99亿美元</w:t>
      </w:r>
    </w:p>
    <w:p>
      <w:pPr>
        <w:numPr>
          <w:ilvl w:val="0"/>
          <w:numId w:val="1001"/>
        </w:numPr>
        <w:pStyle w:val="Compact"/>
      </w:pPr>
      <w:r>
        <w:rPr>
          <w:bCs/>
          <w:b/>
        </w:rPr>
        <w:t xml:space="preserve">量子计算股票2026年展望</w:t>
      </w:r>
      <w:r>
        <w:t xml:space="preserve">（2月23日）- 投资者对量子计算板块预期调整，IonQ年初至今下跌24%，IBM下跌11%</w:t>
      </w:r>
    </w:p>
    <w:p>
      <w:pPr>
        <w:numPr>
          <w:ilvl w:val="0"/>
          <w:numId w:val="1001"/>
        </w:numPr>
        <w:pStyle w:val="Compact"/>
      </w:pPr>
      <w:r>
        <w:rPr>
          <w:bCs/>
          <w:b/>
        </w:rPr>
        <w:t xml:space="preserve">合肥超量融合计算中心项目启动</w:t>
      </w:r>
      <w:r>
        <w:t xml:space="preserve"> </w:t>
      </w:r>
      <w:r>
        <w:t xml:space="preserve">- 国盾量子、本源量子、国仪量子三家中标</w:t>
      </w:r>
    </w:p>
    <w:p>
      <w:pPr>
        <w:numPr>
          <w:ilvl w:val="0"/>
          <w:numId w:val="1001"/>
        </w:numPr>
        <w:pStyle w:val="Compact"/>
      </w:pPr>
      <w:r>
        <w:rPr>
          <w:bCs/>
          <w:b/>
        </w:rPr>
        <w:t xml:space="preserve">中国量子科技赛道融资超25亿元</w:t>
      </w:r>
      <w:r>
        <w:t xml:space="preserve">（截至2026年2月）- 2025年初至2026年2月共25起融资事件</w:t>
      </w:r>
    </w:p>
    <w:p>
      <w:pPr>
        <w:numPr>
          <w:ilvl w:val="0"/>
          <w:numId w:val="1001"/>
        </w:numPr>
        <w:pStyle w:val="Compact"/>
      </w:pPr>
      <w:r>
        <w:rPr>
          <w:bCs/>
          <w:b/>
        </w:rPr>
        <w:t xml:space="preserve">本源量子IPO进程推进</w:t>
      </w:r>
      <w:r>
        <w:t xml:space="preserve"> </w:t>
      </w:r>
      <w:r>
        <w:t xml:space="preserve">- 2025年9月完成辅导备案，有望成为第三家上市量子科技企业</w:t>
      </w:r>
    </w:p>
    <w:p>
      <w:pPr>
        <w:numPr>
          <w:ilvl w:val="0"/>
          <w:numId w:val="1001"/>
        </w:numPr>
        <w:pStyle w:val="Compact"/>
      </w:pPr>
      <w:r>
        <w:rPr>
          <w:bCs/>
          <w:b/>
        </w:rPr>
        <w:t xml:space="preserve">苏黎世联邦理工/PSI实现晶格手术容错量子操作</w:t>
      </w:r>
      <w:r>
        <w:t xml:space="preserve"> </w:t>
      </w:r>
      <w:r>
        <w:t xml:space="preserve">- 在超导逻辑量子比特上首次实现晶格手术操作</w:t>
      </w:r>
    </w:p>
    <w:p>
      <w:pPr>
        <w:numPr>
          <w:ilvl w:val="0"/>
          <w:numId w:val="1001"/>
        </w:numPr>
        <w:pStyle w:val="Compact"/>
      </w:pPr>
      <w:r>
        <w:rPr>
          <w:bCs/>
          <w:b/>
        </w:rPr>
        <w:t xml:space="preserve">arXiv多篇量子计算论文发布</w:t>
      </w:r>
      <w:r>
        <w:t xml:space="preserve">（2月17-18日）- 包括无人机配送装箱问题、量子计算变分电路研究等</w:t>
      </w:r>
    </w:p>
    <w:p>
      <w:pPr>
        <w:numPr>
          <w:ilvl w:val="0"/>
          <w:numId w:val="1001"/>
        </w:numPr>
        <w:pStyle w:val="Compact"/>
      </w:pPr>
      <w:r>
        <w:rPr>
          <w:bCs/>
          <w:b/>
        </w:rPr>
        <w:t xml:space="preserve">2026年被定义为”量子安全年”</w:t>
      </w:r>
      <w:r>
        <w:t xml:space="preserve"> </w:t>
      </w:r>
      <w:r>
        <w:t xml:space="preserve">- 后量子密码学成为焦点</w:t>
      </w:r>
    </w:p>
    <w:p>
      <w:r>
        <w:pict>
          <v:rect style="width:0;height:1.5pt" o:hralign="center" o:hrstd="t" o:hr="t"/>
        </w:pict>
      </w:r>
    </w:p>
    <w:bookmarkEnd w:id="21"/>
    <w:bookmarkStart w:id="24" w:name="政策动态"/>
    <w:p>
      <w:pPr>
        <w:pStyle w:val="Heading2"/>
      </w:pPr>
      <w:r>
        <w:t xml:space="preserve">1. 政策动态</w:t>
      </w:r>
    </w:p>
    <w:p>
      <w:pPr>
        <w:pStyle w:val="FirstParagraph"/>
      </w:pPr>
      <w:r>
        <w:rPr>
          <w:bCs/>
          <w:b/>
        </w:rPr>
        <w:t xml:space="preserve">本板块共2条情报，时间范围: 2026-02-17 至 2026-02-24</w:t>
      </w:r>
    </w:p>
    <w:bookmarkStart w:id="22" w:name="美国2025年国家安全战略对量子出口管制的影响"/>
    <w:p>
      <w:pPr>
        <w:pStyle w:val="Heading3"/>
      </w:pPr>
      <w:r>
        <w:t xml:space="preserve">1.1 美国2025年国家安全战略对量子出口管制的影响</w:t>
      </w:r>
    </w:p>
    <w:p>
      <w:pPr>
        <w:numPr>
          <w:ilvl w:val="0"/>
          <w:numId w:val="1002"/>
        </w:numPr>
        <w:pStyle w:val="Compact"/>
      </w:pPr>
      <w:r>
        <w:rPr>
          <w:bCs/>
          <w:b/>
        </w:rPr>
        <w:t xml:space="preserve">日期</w:t>
      </w:r>
      <w:r>
        <w:t xml:space="preserve">: 2026-02-21</w:t>
      </w:r>
    </w:p>
    <w:p>
      <w:pPr>
        <w:numPr>
          <w:ilvl w:val="0"/>
          <w:numId w:val="1002"/>
        </w:numPr>
        <w:pStyle w:val="Compact"/>
      </w:pPr>
      <w:r>
        <w:rPr>
          <w:bCs/>
          <w:b/>
        </w:rPr>
        <w:t xml:space="preserve">来源</w:t>
      </w:r>
      <w:r>
        <w:t xml:space="preserve">: Foley &amp; Lardner律师事务所</w:t>
      </w:r>
    </w:p>
    <w:p>
      <w:pPr>
        <w:numPr>
          <w:ilvl w:val="0"/>
          <w:numId w:val="1002"/>
        </w:numPr>
        <w:pStyle w:val="Compact"/>
      </w:pPr>
      <w:r>
        <w:rPr>
          <w:bCs/>
          <w:b/>
        </w:rPr>
        <w:t xml:space="preserve">摘要</w:t>
      </w:r>
      <w:r>
        <w:t xml:space="preserve">: 特朗普政府发布的2025年国家安全战略（NSS）明确将出口管制作为塑造盟友行为和加强区域安全的杠杆工具。量子计算、半导体和其他先进技术领域的制造商将面临更严格的出口管制合规要求。战略强调与盟友协调部署出口管制，将优惠商业待遇、技术共享与对美国出口管制制度的对齐挂钩。</w:t>
      </w:r>
    </w:p>
    <w:p>
      <w:pPr>
        <w:numPr>
          <w:ilvl w:val="0"/>
          <w:numId w:val="1002"/>
        </w:numPr>
        <w:pStyle w:val="Compact"/>
      </w:pPr>
      <w:r>
        <w:rPr>
          <w:bCs/>
          <w:b/>
        </w:rPr>
        <w:t xml:space="preserve">影响</w:t>
      </w:r>
      <w:r>
        <w:t xml:space="preserve">: 跨国科技公司需重新评估全球合规计划，以美国标准为准，否则可能面临市场准入限制。</w:t>
      </w:r>
    </w:p>
    <w:bookmarkEnd w:id="22"/>
    <w:bookmarkStart w:id="23" w:name="加拿大量子计算法律法规更新"/>
    <w:p>
      <w:pPr>
        <w:pStyle w:val="Heading3"/>
      </w:pPr>
      <w:r>
        <w:t xml:space="preserve">1.2 加拿大量子计算法律法规更新</w:t>
      </w:r>
    </w:p>
    <w:p>
      <w:pPr>
        <w:numPr>
          <w:ilvl w:val="0"/>
          <w:numId w:val="1003"/>
        </w:numPr>
        <w:pStyle w:val="Compact"/>
      </w:pPr>
      <w:r>
        <w:rPr>
          <w:bCs/>
          <w:b/>
        </w:rPr>
        <w:t xml:space="preserve">日期</w:t>
      </w:r>
      <w:r>
        <w:t xml:space="preserve">: 2026-02-24</w:t>
      </w:r>
    </w:p>
    <w:p>
      <w:pPr>
        <w:numPr>
          <w:ilvl w:val="0"/>
          <w:numId w:val="1003"/>
        </w:numPr>
        <w:pStyle w:val="Compact"/>
      </w:pPr>
      <w:r>
        <w:rPr>
          <w:bCs/>
          <w:b/>
        </w:rPr>
        <w:t xml:space="preserve">来源</w:t>
      </w:r>
      <w:r>
        <w:t xml:space="preserve">: Baker McKenzie</w:t>
      </w:r>
    </w:p>
    <w:p>
      <w:pPr>
        <w:numPr>
          <w:ilvl w:val="0"/>
          <w:numId w:val="1003"/>
        </w:numPr>
        <w:pStyle w:val="Compact"/>
      </w:pPr>
      <w:r>
        <w:rPr>
          <w:bCs/>
          <w:b/>
        </w:rPr>
        <w:t xml:space="preserve">摘要</w:t>
      </w:r>
      <w:r>
        <w:t xml:space="preserve">: 加拿大发布《全球法律洞察：量子计算2026》特别报告，强调量子技术的出口管制准备。报告指出加拿大联邦政策仍以政策导向为主，而非立法导向，重点关注后量子密码学（PQC）治理、受控物品出口管制准备以及风险披露现代化。</w:t>
      </w:r>
    </w:p>
    <w:p>
      <w:pPr>
        <w:numPr>
          <w:ilvl w:val="0"/>
          <w:numId w:val="1003"/>
        </w:numPr>
        <w:pStyle w:val="Compact"/>
      </w:pPr>
      <w:r>
        <w:rPr>
          <w:bCs/>
          <w:b/>
        </w:rPr>
        <w:t xml:space="preserve">影响</w:t>
      </w:r>
      <w:r>
        <w:t xml:space="preserve">: 金融服务、电信、生命科学和关键基础设施领域企业需加速PQC迁移计划。</w:t>
      </w:r>
    </w:p>
    <w:p>
      <w:r>
        <w:pict>
          <v:rect style="width:0;height:1.5pt" o:hralign="center" o:hrstd="t" o:hr="t"/>
        </w:pict>
      </w:r>
    </w:p>
    <w:bookmarkEnd w:id="23"/>
    <w:bookmarkEnd w:id="24"/>
    <w:bookmarkStart w:id="30" w:name="学术动态"/>
    <w:p>
      <w:pPr>
        <w:pStyle w:val="Heading2"/>
      </w:pPr>
      <w:r>
        <w:t xml:space="preserve">2. 学术动态</w:t>
      </w:r>
    </w:p>
    <w:p>
      <w:pPr>
        <w:pStyle w:val="FirstParagraph"/>
      </w:pPr>
      <w:r>
        <w:rPr>
          <w:bCs/>
          <w:b/>
        </w:rPr>
        <w:t xml:space="preserve">本板块共5条情报，时间范围: 2026-02-17 至 2026-02-24</w:t>
      </w:r>
    </w:p>
    <w:bookmarkStart w:id="25" w:name="中国科学家在量子信息保持方面取得突破"/>
    <w:p>
      <w:pPr>
        <w:pStyle w:val="Heading3"/>
      </w:pPr>
      <w:r>
        <w:t xml:space="preserve">2.1 中国科学家在量子信息保持方面取得突破</w:t>
      </w:r>
    </w:p>
    <w:p>
      <w:pPr>
        <w:numPr>
          <w:ilvl w:val="0"/>
          <w:numId w:val="1004"/>
        </w:numPr>
        <w:pStyle w:val="Compact"/>
      </w:pPr>
      <w:r>
        <w:rPr>
          <w:bCs/>
          <w:b/>
        </w:rPr>
        <w:t xml:space="preserve">日期</w:t>
      </w:r>
      <w:r>
        <w:t xml:space="preserve">: 2026-02-23</w:t>
      </w:r>
    </w:p>
    <w:p>
      <w:pPr>
        <w:numPr>
          <w:ilvl w:val="0"/>
          <w:numId w:val="1004"/>
        </w:numPr>
        <w:pStyle w:val="Compact"/>
      </w:pPr>
      <w:r>
        <w:rPr>
          <w:bCs/>
          <w:b/>
        </w:rPr>
        <w:t xml:space="preserve">来源</w:t>
      </w:r>
      <w:r>
        <w:t xml:space="preserve">: Nature / 中国科学技术大学</w:t>
      </w:r>
    </w:p>
    <w:p>
      <w:pPr>
        <w:numPr>
          <w:ilvl w:val="0"/>
          <w:numId w:val="1004"/>
        </w:numPr>
        <w:pStyle w:val="Compact"/>
      </w:pPr>
      <w:r>
        <w:rPr>
          <w:bCs/>
          <w:b/>
        </w:rPr>
        <w:t xml:space="preserve">摘要</w:t>
      </w:r>
      <w:r>
        <w:t xml:space="preserve">: 中国科学家利用78量子比特”庄子2.0”（Chuang Tzu 2.0）超导处理器，成功观察和控制量子系统中的稀有中间态，有效减缓量子混沌。研究团队识别出”预热化平台”（prethermalisation plateau）——系统在快速进入完全复杂性之前抵抗无序的短暂时期。通过精确调整控制序列，科学家能够调节量子退相干速率和信息扩散方式。</w:t>
      </w:r>
    </w:p>
    <w:p>
      <w:pPr>
        <w:numPr>
          <w:ilvl w:val="0"/>
          <w:numId w:val="1004"/>
        </w:numPr>
        <w:pStyle w:val="Compact"/>
      </w:pPr>
      <w:r>
        <w:rPr>
          <w:bCs/>
          <w:b/>
        </w:rPr>
        <w:t xml:space="preserve">意义</w:t>
      </w:r>
      <w:r>
        <w:t xml:space="preserve">: 这一发现为保持脆弱的量子信息提供了潜在窗口，更长的相干时间可显著提高量子计算和纠错方法的可靠性。</w:t>
      </w:r>
    </w:p>
    <w:bookmarkEnd w:id="25"/>
    <w:bookmarkStart w:id="26" w:name="苏黎世联邦理工psi实现晶格手术容错量子操作"/>
    <w:p>
      <w:pPr>
        <w:pStyle w:val="Heading3"/>
      </w:pPr>
      <w:r>
        <w:t xml:space="preserve">2.2 苏黎世联邦理工/PSI实现晶格手术容错量子操作</w:t>
      </w:r>
    </w:p>
    <w:p>
      <w:pPr>
        <w:numPr>
          <w:ilvl w:val="0"/>
          <w:numId w:val="1005"/>
        </w:numPr>
        <w:pStyle w:val="Compact"/>
      </w:pPr>
      <w:r>
        <w:rPr>
          <w:bCs/>
          <w:b/>
        </w:rPr>
        <w:t xml:space="preserve">日期</w:t>
      </w:r>
      <w:r>
        <w:t xml:space="preserve">: 2026-02-20</w:t>
      </w:r>
    </w:p>
    <w:p>
      <w:pPr>
        <w:numPr>
          <w:ilvl w:val="0"/>
          <w:numId w:val="1005"/>
        </w:numPr>
        <w:pStyle w:val="Compact"/>
      </w:pPr>
      <w:r>
        <w:rPr>
          <w:bCs/>
          <w:b/>
        </w:rPr>
        <w:t xml:space="preserve">来源</w:t>
      </w:r>
      <w:r>
        <w:t xml:space="preserve">: Nature Physics / ETH Zurich / Paul Scherrer Institute</w:t>
      </w:r>
    </w:p>
    <w:p>
      <w:pPr>
        <w:numPr>
          <w:ilvl w:val="0"/>
          <w:numId w:val="1005"/>
        </w:numPr>
        <w:pStyle w:val="Compact"/>
      </w:pPr>
      <w:r>
        <w:rPr>
          <w:bCs/>
          <w:b/>
        </w:rPr>
        <w:t xml:space="preserve">摘要</w:t>
      </w:r>
      <w:r>
        <w:t xml:space="preserve">: Andreas Wallraff教授领导的团队首次在超导逻辑量子比特上实现晶格手术（Lattice Surgery）操作。该方法允许在执行量子操作的同时持续修复错误，而非暂停保护进行计算。实验使用17个物理量子比特编码单个逻辑量子比特，每1.66微秒测量一次稳定器以纠正位翻转和相位翻转错误。</w:t>
      </w:r>
    </w:p>
    <w:p>
      <w:pPr>
        <w:numPr>
          <w:ilvl w:val="0"/>
          <w:numId w:val="1005"/>
        </w:numPr>
        <w:pStyle w:val="Compact"/>
      </w:pPr>
      <w:r>
        <w:rPr>
          <w:bCs/>
          <w:b/>
        </w:rPr>
        <w:t xml:space="preserve">意义</w:t>
      </w:r>
      <w:r>
        <w:t xml:space="preserve">: 这是超导量子比特上首次实现晶格手术，标志着向容错量子计算迈进的重要一步。</w:t>
      </w:r>
    </w:p>
    <w:bookmarkEnd w:id="26"/>
    <w:bookmarkStart w:id="27" w:name="哥本哈根大学实时量子比特波动追踪突破"/>
    <w:p>
      <w:pPr>
        <w:pStyle w:val="Heading3"/>
      </w:pPr>
      <w:r>
        <w:t xml:space="preserve">2.3 哥本哈根大学实时量子比特波动追踪突破</w:t>
      </w:r>
    </w:p>
    <w:p>
      <w:pPr>
        <w:numPr>
          <w:ilvl w:val="0"/>
          <w:numId w:val="1006"/>
        </w:numPr>
        <w:pStyle w:val="Compact"/>
      </w:pPr>
      <w:r>
        <w:rPr>
          <w:bCs/>
          <w:b/>
        </w:rPr>
        <w:t xml:space="preserve">日期</w:t>
      </w:r>
      <w:r>
        <w:t xml:space="preserve">: 2026-02-20</w:t>
      </w:r>
    </w:p>
    <w:p>
      <w:pPr>
        <w:numPr>
          <w:ilvl w:val="0"/>
          <w:numId w:val="1006"/>
        </w:numPr>
        <w:pStyle w:val="Compact"/>
      </w:pPr>
      <w:r>
        <w:rPr>
          <w:bCs/>
          <w:b/>
        </w:rPr>
        <w:t xml:space="preserve">来源</w:t>
      </w:r>
      <w:r>
        <w:t xml:space="preserve">: University of Copenhagen / Nature</w:t>
      </w:r>
    </w:p>
    <w:p>
      <w:pPr>
        <w:numPr>
          <w:ilvl w:val="0"/>
          <w:numId w:val="1006"/>
        </w:numPr>
        <w:pStyle w:val="Compact"/>
      </w:pPr>
      <w:r>
        <w:rPr>
          <w:bCs/>
          <w:b/>
        </w:rPr>
        <w:t xml:space="preserve">摘要</w:t>
      </w:r>
      <w:r>
        <w:t xml:space="preserve">: 尼尔斯·玻尔研究所研究人员开发出实时自适应测量系统，可在毫秒级跟踪量子比特能量损失率的变化。使用Quantum Machines的OPX1000 FPGA控制器，系统更新速度比传统方法快约100倍。研究发现”好”量子比特可能在几分之一秒内变成”坏”量子比特。</w:t>
      </w:r>
    </w:p>
    <w:p>
      <w:pPr>
        <w:numPr>
          <w:ilvl w:val="0"/>
          <w:numId w:val="1006"/>
        </w:numPr>
        <w:pStyle w:val="Compact"/>
      </w:pPr>
      <w:r>
        <w:rPr>
          <w:bCs/>
          <w:b/>
        </w:rPr>
        <w:t xml:space="preserve">意义</w:t>
      </w:r>
      <w:r>
        <w:t xml:space="preserve">: 实时监测和校准对于提高超导量子处理器可靠性至关重要。</w:t>
      </w:r>
    </w:p>
    <w:bookmarkEnd w:id="27"/>
    <w:bookmarkStart w:id="28" w:name="arxiv量子计算论文动态2月17-18日"/>
    <w:p>
      <w:pPr>
        <w:pStyle w:val="Heading3"/>
      </w:pPr>
      <w:r>
        <w:t xml:space="preserve">2.4 arXiv量子计算论文动态（2月17-18日）</w:t>
      </w:r>
    </w:p>
    <w:p>
      <w:pPr>
        <w:numPr>
          <w:ilvl w:val="0"/>
          <w:numId w:val="1007"/>
        </w:numPr>
        <w:pStyle w:val="Compact"/>
      </w:pPr>
      <w:r>
        <w:rPr>
          <w:bCs/>
          <w:b/>
        </w:rPr>
        <w:t xml:space="preserve">日期</w:t>
      </w:r>
      <w:r>
        <w:t xml:space="preserve">: 2026-02-17至2026-02-18</w:t>
      </w:r>
    </w:p>
    <w:p>
      <w:pPr>
        <w:numPr>
          <w:ilvl w:val="0"/>
          <w:numId w:val="1007"/>
        </w:numPr>
        <w:pStyle w:val="Compact"/>
      </w:pPr>
      <w:r>
        <w:rPr>
          <w:bCs/>
          <w:b/>
        </w:rPr>
        <w:t xml:space="preserve">来源</w:t>
      </w:r>
      <w:r>
        <w:t xml:space="preserve">: arXiv</w:t>
      </w:r>
    </w:p>
    <w:p>
      <w:pPr>
        <w:numPr>
          <w:ilvl w:val="0"/>
          <w:numId w:val="1007"/>
        </w:numPr>
        <w:pStyle w:val="Compact"/>
      </w:pPr>
      <w:r>
        <w:rPr>
          <w:bCs/>
          <w:b/>
        </w:rPr>
        <w:t xml:space="preserve">主要论文</w:t>
      </w:r>
      <w:r>
        <w:t xml:space="preserve">:</w:t>
      </w:r>
    </w:p>
    <w:p>
      <w:pPr>
        <w:numPr>
          <w:ilvl w:val="1"/>
          <w:numId w:val="1008"/>
        </w:numPr>
        <w:pStyle w:val="Compact"/>
      </w:pPr>
      <w:r>
        <w:rPr>
          <w:bCs/>
          <w:b/>
        </w:rPr>
        <w:t xml:space="preserve">2602.15487</w:t>
      </w:r>
      <w:r>
        <w:t xml:space="preserve">: 中性原子量子处理器解决无人机配送装箱问题（2月17日）</w:t>
      </w:r>
    </w:p>
    <w:p>
      <w:pPr>
        <w:numPr>
          <w:ilvl w:val="1"/>
          <w:numId w:val="1008"/>
        </w:numPr>
        <w:pStyle w:val="Compact"/>
      </w:pPr>
      <w:r>
        <w:rPr>
          <w:bCs/>
          <w:b/>
        </w:rPr>
        <w:t xml:space="preserve">2602.16558</w:t>
      </w:r>
      <w:r>
        <w:t xml:space="preserve">: 变分量子电路中参数共享导致的梯度欺骗性研究（2月18日）</w:t>
      </w:r>
    </w:p>
    <w:p>
      <w:pPr>
        <w:numPr>
          <w:ilvl w:val="1"/>
          <w:numId w:val="1008"/>
        </w:numPr>
        <w:pStyle w:val="Compact"/>
      </w:pPr>
      <w:r>
        <w:rPr>
          <w:bCs/>
          <w:b/>
        </w:rPr>
        <w:t xml:space="preserve">2602.16927</w:t>
      </w:r>
      <w:r>
        <w:t xml:space="preserve">: 自由量子计算公理化体系（2月18日）</w:t>
      </w:r>
    </w:p>
    <w:p>
      <w:pPr>
        <w:numPr>
          <w:ilvl w:val="1"/>
          <w:numId w:val="1008"/>
        </w:numPr>
        <w:pStyle w:val="Compact"/>
      </w:pPr>
      <w:r>
        <w:rPr>
          <w:bCs/>
          <w:b/>
        </w:rPr>
        <w:t xml:space="preserve">2602.15217</w:t>
      </w:r>
      <w:r>
        <w:t xml:space="preserve">: 专家视角下的量子计算机现状调查（2月16日）</w:t>
      </w:r>
    </w:p>
    <w:bookmarkEnd w:id="28"/>
    <w:bookmarkStart w:id="29" w:name="马约拉纳量子比特读取突破"/>
    <w:p>
      <w:pPr>
        <w:pStyle w:val="Heading3"/>
      </w:pPr>
      <w:r>
        <w:t xml:space="preserve">2.5 马约拉纳量子比特读取突破</w:t>
      </w:r>
    </w:p>
    <w:p>
      <w:pPr>
        <w:numPr>
          <w:ilvl w:val="0"/>
          <w:numId w:val="1009"/>
        </w:numPr>
        <w:pStyle w:val="Compact"/>
      </w:pPr>
      <w:r>
        <w:rPr>
          <w:bCs/>
          <w:b/>
        </w:rPr>
        <w:t xml:space="preserve">日期</w:t>
      </w:r>
      <w:r>
        <w:t xml:space="preserve">: 2026-02-16</w:t>
      </w:r>
    </w:p>
    <w:p>
      <w:pPr>
        <w:numPr>
          <w:ilvl w:val="0"/>
          <w:numId w:val="1009"/>
        </w:numPr>
        <w:pStyle w:val="Compact"/>
      </w:pPr>
      <w:r>
        <w:rPr>
          <w:bCs/>
          <w:b/>
        </w:rPr>
        <w:t xml:space="preserve">来源</w:t>
      </w:r>
      <w:r>
        <w:t xml:space="preserve">: ScienceDaily / ICMM CSIC / Delft University</w:t>
      </w:r>
    </w:p>
    <w:p>
      <w:pPr>
        <w:numPr>
          <w:ilvl w:val="0"/>
          <w:numId w:val="1009"/>
        </w:numPr>
        <w:pStyle w:val="Compact"/>
      </w:pPr>
      <w:r>
        <w:rPr>
          <w:bCs/>
          <w:b/>
        </w:rPr>
        <w:t xml:space="preserve">摘要</w:t>
      </w:r>
      <w:r>
        <w:t xml:space="preserve">: 研究人员首次成功读取马约拉纳量子比特，通过量子电容技术实时确定两个马约拉纳模式形成的组合量子态是偶数还是奇数。实验测量到”奇偶相干时间超过1毫秒”。</w:t>
      </w:r>
    </w:p>
    <w:p>
      <w:pPr>
        <w:numPr>
          <w:ilvl w:val="0"/>
          <w:numId w:val="1009"/>
        </w:numPr>
        <w:pStyle w:val="Compact"/>
      </w:pPr>
      <w:r>
        <w:rPr>
          <w:bCs/>
          <w:b/>
        </w:rPr>
        <w:t xml:space="preserve">意义</w:t>
      </w:r>
      <w:r>
        <w:t xml:space="preserve">: 拓扑量子比特具有天然抗噪能力，这一突破为稳定量子计算开辟新路径。</w:t>
      </w:r>
    </w:p>
    <w:p>
      <w:r>
        <w:pict>
          <v:rect style="width:0;height:1.5pt" o:hralign="center" o:hrstd="t" o:hr="t"/>
        </w:pict>
      </w:r>
    </w:p>
    <w:bookmarkEnd w:id="29"/>
    <w:bookmarkEnd w:id="30"/>
    <w:bookmarkStart w:id="37" w:name="企业动态"/>
    <w:p>
      <w:pPr>
        <w:pStyle w:val="Heading2"/>
      </w:pPr>
      <w:r>
        <w:t xml:space="preserve">3. 企业动态</w:t>
      </w:r>
    </w:p>
    <w:p>
      <w:pPr>
        <w:pStyle w:val="FirstParagraph"/>
      </w:pPr>
      <w:r>
        <w:rPr>
          <w:bCs/>
          <w:b/>
        </w:rPr>
        <w:t xml:space="preserve">本板块共6条情报，时间范围: 2026-02-17 至 2026-02-24</w:t>
      </w:r>
    </w:p>
    <w:bookmarkStart w:id="31" w:name="本源量子本源司南操作系统全球开放下载"/>
    <w:p>
      <w:pPr>
        <w:pStyle w:val="Heading3"/>
      </w:pPr>
      <w:r>
        <w:t xml:space="preserve">3.1 本源量子”本源司南”操作系统全球开放下载</w:t>
      </w:r>
    </w:p>
    <w:p>
      <w:pPr>
        <w:numPr>
          <w:ilvl w:val="0"/>
          <w:numId w:val="1010"/>
        </w:numPr>
        <w:pStyle w:val="Compact"/>
      </w:pPr>
      <w:r>
        <w:rPr>
          <w:bCs/>
          <w:b/>
        </w:rPr>
        <w:t xml:space="preserve">日期</w:t>
      </w:r>
      <w:r>
        <w:t xml:space="preserve">: 2026-02-24</w:t>
      </w:r>
    </w:p>
    <w:p>
      <w:pPr>
        <w:numPr>
          <w:ilvl w:val="0"/>
          <w:numId w:val="1010"/>
        </w:numPr>
        <w:pStyle w:val="Compact"/>
      </w:pPr>
      <w:r>
        <w:rPr>
          <w:bCs/>
          <w:b/>
        </w:rPr>
        <w:t xml:space="preserve">来源</w:t>
      </w:r>
      <w:r>
        <w:t xml:space="preserve">: 安徽省量子计算工程研究中心 / 上海证券报</w:t>
      </w:r>
    </w:p>
    <w:p>
      <w:pPr>
        <w:numPr>
          <w:ilvl w:val="0"/>
          <w:numId w:val="1010"/>
        </w:numPr>
        <w:pStyle w:val="Compact"/>
      </w:pPr>
      <w:r>
        <w:rPr>
          <w:bCs/>
          <w:b/>
        </w:rPr>
        <w:t xml:space="preserve">摘要</w:t>
      </w:r>
      <w:r>
        <w:t xml:space="preserve">: 本源量子宣布其自主研发量子计算机操作系统”本源司南”正式开放线上下载，这是全球首个开放下载的量子计算机操作系统。该系统兼容超导、离子阱、中性原子等多种主流技术路线，已部署在本源”本源悟空”系列量子计算机上。</w:t>
      </w:r>
    </w:p>
    <w:p>
      <w:pPr>
        <w:numPr>
          <w:ilvl w:val="0"/>
          <w:numId w:val="1010"/>
        </w:numPr>
        <w:pStyle w:val="Compact"/>
      </w:pPr>
      <w:r>
        <w:rPr>
          <w:bCs/>
          <w:b/>
        </w:rPr>
        <w:t xml:space="preserve">意义</w:t>
      </w:r>
      <w:r>
        <w:t xml:space="preserve">: 打破国际技术壁垒，美国IBM、谷歌等仅提供编程框架与云服务，底层操作系统未对外开放。标志着中国量子计算产业从技术攻坚迈向生态体系建设。</w:t>
      </w:r>
    </w:p>
    <w:bookmarkEnd w:id="31"/>
    <w:bookmarkStart w:id="32" w:name="本源量子ipo进程推进"/>
    <w:p>
      <w:pPr>
        <w:pStyle w:val="Heading3"/>
      </w:pPr>
      <w:r>
        <w:t xml:space="preserve">3.2 本源量子IPO进程推进</w:t>
      </w:r>
    </w:p>
    <w:p>
      <w:pPr>
        <w:numPr>
          <w:ilvl w:val="0"/>
          <w:numId w:val="1011"/>
        </w:numPr>
        <w:pStyle w:val="Compact"/>
      </w:pPr>
      <w:r>
        <w:rPr>
          <w:bCs/>
          <w:b/>
        </w:rPr>
        <w:t xml:space="preserve">日期</w:t>
      </w:r>
      <w:r>
        <w:t xml:space="preserve">: 2026-02-24（信息披露）</w:t>
      </w:r>
    </w:p>
    <w:p>
      <w:pPr>
        <w:numPr>
          <w:ilvl w:val="0"/>
          <w:numId w:val="1011"/>
        </w:numPr>
        <w:pStyle w:val="Compact"/>
      </w:pPr>
      <w:r>
        <w:rPr>
          <w:bCs/>
          <w:b/>
        </w:rPr>
        <w:t xml:space="preserve">来源</w:t>
      </w:r>
      <w:r>
        <w:t xml:space="preserve">: 东方财富 / 投资界</w:t>
      </w:r>
    </w:p>
    <w:p>
      <w:pPr>
        <w:numPr>
          <w:ilvl w:val="0"/>
          <w:numId w:val="1011"/>
        </w:numPr>
        <w:pStyle w:val="Compact"/>
      </w:pPr>
      <w:r>
        <w:rPr>
          <w:bCs/>
          <w:b/>
        </w:rPr>
        <w:t xml:space="preserve">摘要</w:t>
      </w:r>
      <w:r>
        <w:t xml:space="preserve">: 本源量子于2025年9月在安徽证监局完成IPO辅导备案，成为继国盾量子、国仪量子后合肥市高新区第三家开启IPO进程的量子科技企业。辅导机构为中信建投证券。公司成立于2017年，注册资本3000万元，郭国平教授为实际控制人。</w:t>
      </w:r>
    </w:p>
    <w:p>
      <w:pPr>
        <w:numPr>
          <w:ilvl w:val="0"/>
          <w:numId w:val="1011"/>
        </w:numPr>
        <w:pStyle w:val="Compact"/>
      </w:pPr>
      <w:r>
        <w:rPr>
          <w:bCs/>
          <w:b/>
        </w:rPr>
        <w:t xml:space="preserve">意义</w:t>
      </w:r>
      <w:r>
        <w:t xml:space="preserve">: 若上市成功，将进一步提升中国量子计算产业的资本市场影响力。</w:t>
      </w:r>
    </w:p>
    <w:bookmarkEnd w:id="32"/>
    <w:bookmarkStart w:id="33" w:name="合肥超量融合计算中心项目启动"/>
    <w:p>
      <w:pPr>
        <w:pStyle w:val="Heading3"/>
      </w:pPr>
      <w:r>
        <w:t xml:space="preserve">3.3 合肥超量融合计算中心项目启动</w:t>
      </w:r>
    </w:p>
    <w:p>
      <w:pPr>
        <w:numPr>
          <w:ilvl w:val="0"/>
          <w:numId w:val="1012"/>
        </w:numPr>
        <w:pStyle w:val="Compact"/>
      </w:pPr>
      <w:r>
        <w:rPr>
          <w:bCs/>
          <w:b/>
        </w:rPr>
        <w:t xml:space="preserve">日期</w:t>
      </w:r>
      <w:r>
        <w:t xml:space="preserve">: 2026-02-24（信息披露）</w:t>
      </w:r>
    </w:p>
    <w:p>
      <w:pPr>
        <w:numPr>
          <w:ilvl w:val="0"/>
          <w:numId w:val="1012"/>
        </w:numPr>
        <w:pStyle w:val="Compact"/>
      </w:pPr>
      <w:r>
        <w:rPr>
          <w:bCs/>
          <w:b/>
        </w:rPr>
        <w:t xml:space="preserve">来源</w:t>
      </w:r>
      <w:r>
        <w:t xml:space="preserve">: 证券时报</w:t>
      </w:r>
    </w:p>
    <w:p>
      <w:pPr>
        <w:numPr>
          <w:ilvl w:val="0"/>
          <w:numId w:val="1012"/>
        </w:numPr>
        <w:pStyle w:val="Compact"/>
      </w:pPr>
      <w:r>
        <w:rPr>
          <w:bCs/>
          <w:b/>
        </w:rPr>
        <w:t xml:space="preserve">摘要</w:t>
      </w:r>
      <w:r>
        <w:t xml:space="preserve">: 合肥市大数据资产运营有限公司启动合肥超量融合计算中心招标项目，基于”巢湖明月”超级计算机部署2台超导量子计算机和1台离子阱量子计算机。项目分为3个标段，中标方为国盾量子、本源量子和国仪量子3家公司。</w:t>
      </w:r>
    </w:p>
    <w:p>
      <w:pPr>
        <w:numPr>
          <w:ilvl w:val="0"/>
          <w:numId w:val="1012"/>
        </w:numPr>
        <w:pStyle w:val="Compact"/>
      </w:pPr>
      <w:r>
        <w:rPr>
          <w:bCs/>
          <w:b/>
        </w:rPr>
        <w:t xml:space="preserve">意义</w:t>
      </w:r>
      <w:r>
        <w:t xml:space="preserve">: 超量融合作为量子计算与经典计算混合的新型计算架构，可有效提升复杂问题求解效率。</w:t>
      </w:r>
    </w:p>
    <w:bookmarkEnd w:id="33"/>
    <w:bookmarkStart w:id="34" w:name="ionq国家安全量子需求前景分析"/>
    <w:p>
      <w:pPr>
        <w:pStyle w:val="Heading3"/>
      </w:pPr>
      <w:r>
        <w:t xml:space="preserve">3.4 IonQ国家安全量子需求前景分析</w:t>
      </w:r>
    </w:p>
    <w:p>
      <w:pPr>
        <w:numPr>
          <w:ilvl w:val="0"/>
          <w:numId w:val="1013"/>
        </w:numPr>
        <w:pStyle w:val="Compact"/>
      </w:pPr>
      <w:r>
        <w:rPr>
          <w:bCs/>
          <w:b/>
        </w:rPr>
        <w:t xml:space="preserve">日期</w:t>
      </w:r>
      <w:r>
        <w:t xml:space="preserve">: 2026-02-24</w:t>
      </w:r>
    </w:p>
    <w:p>
      <w:pPr>
        <w:numPr>
          <w:ilvl w:val="0"/>
          <w:numId w:val="1013"/>
        </w:numPr>
        <w:pStyle w:val="Compact"/>
      </w:pPr>
      <w:r>
        <w:rPr>
          <w:bCs/>
          <w:b/>
        </w:rPr>
        <w:t xml:space="preserve">来源</w:t>
      </w:r>
      <w:r>
        <w:t xml:space="preserve">: Zacks Investment Research</w:t>
      </w:r>
    </w:p>
    <w:p>
      <w:pPr>
        <w:numPr>
          <w:ilvl w:val="0"/>
          <w:numId w:val="1013"/>
        </w:numPr>
        <w:pStyle w:val="Compact"/>
      </w:pPr>
      <w:r>
        <w:rPr>
          <w:bCs/>
          <w:b/>
        </w:rPr>
        <w:t xml:space="preserve">摘要</w:t>
      </w:r>
      <w:r>
        <w:t xml:space="preserve">: 分析师报告指出，IonQ被视为国家安全主导的量子计算和安全需求的受益者。公司2026年销售额预计达1.99亿美元。IonQ近期通过ATM股权发行筹集3.6亿美元，现金储备超7亿美元，随后又筹集10亿美元，现金头寸约16亿美元。</w:t>
      </w:r>
    </w:p>
    <w:p>
      <w:pPr>
        <w:numPr>
          <w:ilvl w:val="0"/>
          <w:numId w:val="1013"/>
        </w:numPr>
        <w:pStyle w:val="Compact"/>
      </w:pPr>
      <w:r>
        <w:rPr>
          <w:bCs/>
          <w:b/>
        </w:rPr>
        <w:t xml:space="preserve">战略收购</w:t>
      </w:r>
      <w:r>
        <w:t xml:space="preserve">: 2025年收购Qubitekk、ID Quantique、Capella Space，2025年6月宣布以约10.75亿美元收购Oxford Ionics。</w:t>
      </w:r>
    </w:p>
    <w:bookmarkEnd w:id="34"/>
    <w:bookmarkStart w:id="35" w:name="量子计算股票市场2026年展望"/>
    <w:p>
      <w:pPr>
        <w:pStyle w:val="Heading3"/>
      </w:pPr>
      <w:r>
        <w:t xml:space="preserve">3.5 量子计算股票市场2026年展望</w:t>
      </w:r>
    </w:p>
    <w:p>
      <w:pPr>
        <w:numPr>
          <w:ilvl w:val="0"/>
          <w:numId w:val="1014"/>
        </w:numPr>
        <w:pStyle w:val="Compact"/>
      </w:pPr>
      <w:r>
        <w:rPr>
          <w:bCs/>
          <w:b/>
        </w:rPr>
        <w:t xml:space="preserve">日期</w:t>
      </w:r>
      <w:r>
        <w:t xml:space="preserve">: 2026-02-23</w:t>
      </w:r>
    </w:p>
    <w:p>
      <w:pPr>
        <w:numPr>
          <w:ilvl w:val="0"/>
          <w:numId w:val="1014"/>
        </w:numPr>
        <w:pStyle w:val="Compact"/>
      </w:pPr>
      <w:r>
        <w:rPr>
          <w:bCs/>
          <w:b/>
        </w:rPr>
        <w:t xml:space="preserve">来源</w:t>
      </w:r>
      <w:r>
        <w:t xml:space="preserve">: Investors.com / AInvest</w:t>
      </w:r>
    </w:p>
    <w:p>
      <w:pPr>
        <w:numPr>
          <w:ilvl w:val="0"/>
          <w:numId w:val="1014"/>
        </w:numPr>
        <w:pStyle w:val="Compact"/>
      </w:pPr>
      <w:r>
        <w:rPr>
          <w:bCs/>
          <w:b/>
        </w:rPr>
        <w:t xml:space="preserve">摘要</w:t>
      </w:r>
      <w:r>
        <w:t xml:space="preserve">: 量子计算板块面临投资者情绪调整。IonQ股价年初至今下跌24%，IBM下跌11%。微软量子副总裁表示”到2029年底，我们有信心数据中心将具有商业价值的机器”。分析师预测量子计算硬件市场到2046年可能超过210亿美元，年复合增长率26.7%。</w:t>
      </w:r>
    </w:p>
    <w:p>
      <w:pPr>
        <w:numPr>
          <w:ilvl w:val="0"/>
          <w:numId w:val="1014"/>
        </w:numPr>
        <w:pStyle w:val="Compact"/>
      </w:pPr>
      <w:r>
        <w:rPr>
          <w:bCs/>
          <w:b/>
        </w:rPr>
        <w:t xml:space="preserve">关键数据</w:t>
      </w:r>
      <w:r>
        <w:t xml:space="preserve">:</w:t>
      </w:r>
    </w:p>
    <w:p>
      <w:pPr>
        <w:numPr>
          <w:ilvl w:val="1"/>
          <w:numId w:val="1015"/>
        </w:numPr>
        <w:pStyle w:val="Compact"/>
      </w:pPr>
      <w:r>
        <w:t xml:space="preserve">IonQ Q4 2025营收43.4万美元，季度现金消耗降至13万美元</w:t>
      </w:r>
    </w:p>
    <w:p>
      <w:pPr>
        <w:numPr>
          <w:ilvl w:val="1"/>
          <w:numId w:val="1015"/>
        </w:numPr>
        <w:pStyle w:val="Compact"/>
      </w:pPr>
      <w:r>
        <w:t xml:space="preserve">2025年全球量子技术投资达创纪录的50亿美元</w:t>
      </w:r>
    </w:p>
    <w:p>
      <w:pPr>
        <w:numPr>
          <w:ilvl w:val="1"/>
          <w:numId w:val="1015"/>
        </w:numPr>
        <w:pStyle w:val="Compact"/>
      </w:pPr>
      <w:r>
        <w:t xml:space="preserve">Quantonation新基金2.2亿欧元，规模翻倍</w:t>
      </w:r>
    </w:p>
    <w:bookmarkEnd w:id="35"/>
    <w:bookmarkStart w:id="36" w:name="中国量子科技赛道融资热度攀升"/>
    <w:p>
      <w:pPr>
        <w:pStyle w:val="Heading3"/>
      </w:pPr>
      <w:r>
        <w:t xml:space="preserve">3.6 中国量子科技赛道融资热度攀升</w:t>
      </w:r>
    </w:p>
    <w:p>
      <w:pPr>
        <w:numPr>
          <w:ilvl w:val="0"/>
          <w:numId w:val="1016"/>
        </w:numPr>
        <w:pStyle w:val="Compact"/>
      </w:pPr>
      <w:r>
        <w:rPr>
          <w:bCs/>
          <w:b/>
        </w:rPr>
        <w:t xml:space="preserve">日期</w:t>
      </w:r>
      <w:r>
        <w:t xml:space="preserve">: 2026-02-23</w:t>
      </w:r>
    </w:p>
    <w:p>
      <w:pPr>
        <w:numPr>
          <w:ilvl w:val="0"/>
          <w:numId w:val="1016"/>
        </w:numPr>
        <w:pStyle w:val="Compact"/>
      </w:pPr>
      <w:r>
        <w:rPr>
          <w:bCs/>
          <w:b/>
        </w:rPr>
        <w:t xml:space="preserve">来源</w:t>
      </w:r>
      <w:r>
        <w:t xml:space="preserve">: 财联社 / 科创板日报</w:t>
      </w:r>
    </w:p>
    <w:p>
      <w:pPr>
        <w:numPr>
          <w:ilvl w:val="0"/>
          <w:numId w:val="1016"/>
        </w:numPr>
        <w:pStyle w:val="Compact"/>
      </w:pPr>
      <w:r>
        <w:rPr>
          <w:bCs/>
          <w:b/>
        </w:rPr>
        <w:t xml:space="preserve">摘要</w:t>
      </w:r>
      <w:r>
        <w:t xml:space="preserve">: 2025年初至2026年2月5日，量子科技赛道（含量子计算和量子计算机）融资金额达25.16亿元，融资事件25起。2026年以来，图灵量子、中科酷原、相干科技、国测量子、量旋科技、微观纪元等公司宣布完成融资。</w:t>
      </w:r>
    </w:p>
    <w:p>
      <w:pPr>
        <w:numPr>
          <w:ilvl w:val="0"/>
          <w:numId w:val="1016"/>
        </w:numPr>
        <w:pStyle w:val="Compact"/>
      </w:pPr>
      <w:r>
        <w:rPr>
          <w:bCs/>
          <w:b/>
        </w:rPr>
        <w:t xml:space="preserve">主要融资事件</w:t>
      </w:r>
      <w:r>
        <w:t xml:space="preserve">:</w:t>
      </w:r>
    </w:p>
    <w:p>
      <w:pPr>
        <w:numPr>
          <w:ilvl w:val="1"/>
          <w:numId w:val="1017"/>
        </w:numPr>
        <w:pStyle w:val="Compact"/>
      </w:pPr>
      <w:r>
        <w:t xml:space="preserve">图灵量子：1月完成近亿元天使轮+数亿元B轮</w:t>
      </w:r>
    </w:p>
    <w:p>
      <w:pPr>
        <w:numPr>
          <w:ilvl w:val="1"/>
          <w:numId w:val="1017"/>
        </w:numPr>
        <w:pStyle w:val="Compact"/>
      </w:pPr>
      <w:r>
        <w:t xml:space="preserve">量旋科技：1月完成数亿元C轮</w:t>
      </w:r>
    </w:p>
    <w:p>
      <w:pPr>
        <w:numPr>
          <w:ilvl w:val="1"/>
          <w:numId w:val="1017"/>
        </w:numPr>
        <w:pStyle w:val="Compact"/>
      </w:pPr>
      <w:r>
        <w:t xml:space="preserve">相干科技：2月完成超亿元Pre-A轮</w:t>
      </w:r>
    </w:p>
    <w:p>
      <w:pPr>
        <w:numPr>
          <w:ilvl w:val="1"/>
          <w:numId w:val="1017"/>
        </w:numPr>
        <w:pStyle w:val="Compact"/>
      </w:pPr>
      <w:r>
        <w:t xml:space="preserve">逻辑比特：2月完成Pre-A+轮</w:t>
      </w:r>
    </w:p>
    <w:p>
      <w:r>
        <w:pict>
          <v:rect style="width:0;height:1.5pt" o:hralign="center" o:hrstd="t" o:hr="t"/>
        </w:pict>
      </w:r>
    </w:p>
    <w:bookmarkEnd w:id="36"/>
    <w:bookmarkEnd w:id="37"/>
    <w:bookmarkStart w:id="42" w:name="竞争态势"/>
    <w:p>
      <w:pPr>
        <w:pStyle w:val="Heading2"/>
      </w:pPr>
      <w:r>
        <w:t xml:space="preserve">4. 竞争态势</w:t>
      </w:r>
    </w:p>
    <w:p>
      <w:pPr>
        <w:pStyle w:val="FirstParagraph"/>
      </w:pPr>
      <w:r>
        <w:rPr>
          <w:bCs/>
          <w:b/>
        </w:rPr>
        <w:t xml:space="preserve">本板块共4条情报，时间范围: 2026-02-17 至 2026-02-24</w:t>
      </w:r>
    </w:p>
    <w:bookmarkStart w:id="38" w:name="中美量子科技竞争格局"/>
    <w:p>
      <w:pPr>
        <w:pStyle w:val="Heading3"/>
      </w:pPr>
      <w:r>
        <w:t xml:space="preserve">4.1 中美量子科技竞争格局</w:t>
      </w:r>
    </w:p>
    <w:p>
      <w:pPr>
        <w:numPr>
          <w:ilvl w:val="0"/>
          <w:numId w:val="1018"/>
        </w:numPr>
        <w:pStyle w:val="Compact"/>
      </w:pPr>
      <w:r>
        <w:rPr>
          <w:bCs/>
          <w:b/>
        </w:rPr>
        <w:t xml:space="preserve">日期</w:t>
      </w:r>
      <w:r>
        <w:t xml:space="preserve">: 2026-02-23</w:t>
      </w:r>
    </w:p>
    <w:p>
      <w:pPr>
        <w:numPr>
          <w:ilvl w:val="0"/>
          <w:numId w:val="1018"/>
        </w:numPr>
        <w:pStyle w:val="Compact"/>
      </w:pPr>
      <w:r>
        <w:rPr>
          <w:bCs/>
          <w:b/>
        </w:rPr>
        <w:t xml:space="preserve">来源</w:t>
      </w:r>
      <w:r>
        <w:t xml:space="preserve">: 中国投资界 / 华映资本</w:t>
      </w:r>
    </w:p>
    <w:p>
      <w:pPr>
        <w:numPr>
          <w:ilvl w:val="0"/>
          <w:numId w:val="1018"/>
        </w:numPr>
        <w:pStyle w:val="Compact"/>
      </w:pPr>
      <w:r>
        <w:rPr>
          <w:bCs/>
          <w:b/>
        </w:rPr>
        <w:t xml:space="preserve">摘要</w:t>
      </w:r>
      <w:r>
        <w:t xml:space="preserve">:</w:t>
      </w:r>
      <w:r>
        <w:t xml:space="preserve"> </w:t>
      </w:r>
      <w:r>
        <w:t xml:space="preserve">“</w:t>
      </w:r>
      <w:r>
        <w:t xml:space="preserve">十五五</w:t>
      </w:r>
      <w:r>
        <w:t xml:space="preserve">”</w:t>
      </w:r>
      <w:r>
        <w:t xml:space="preserve">规划建议将量子科技列为未来产业布局首位。国盾量子市值超700亿元，本源量子估值持续提升。中国量子计算整机系统研制企业共十多家，包括本源量子、国盾量子、国仪量子等。</w:t>
      </w:r>
    </w:p>
    <w:p>
      <w:pPr>
        <w:numPr>
          <w:ilvl w:val="0"/>
          <w:numId w:val="1018"/>
        </w:numPr>
        <w:pStyle w:val="Compact"/>
      </w:pPr>
      <w:r>
        <w:rPr>
          <w:bCs/>
          <w:b/>
        </w:rPr>
        <w:t xml:space="preserve">竞争态势</w:t>
      </w:r>
      <w:r>
        <w:t xml:space="preserve">:</w:t>
      </w:r>
    </w:p>
    <w:p>
      <w:pPr>
        <w:numPr>
          <w:ilvl w:val="1"/>
          <w:numId w:val="1019"/>
        </w:numPr>
        <w:pStyle w:val="Compact"/>
      </w:pPr>
      <w:r>
        <w:t xml:space="preserve">美国：IBM、谷歌、亚马逊、英伟达等科技巨头布局，IonQ、Quantinuum、QuEra等初创公司活跃</w:t>
      </w:r>
    </w:p>
    <w:p>
      <w:pPr>
        <w:numPr>
          <w:ilvl w:val="1"/>
          <w:numId w:val="1019"/>
        </w:numPr>
        <w:pStyle w:val="Compact"/>
      </w:pPr>
      <w:r>
        <w:t xml:space="preserve">中国：本源量子、国盾量子、国仪量子形成”量子三剑客”，中科大三位院士（郭光灿、杜江峰、潘建伟）分别领衔</w:t>
      </w:r>
    </w:p>
    <w:bookmarkEnd w:id="38"/>
    <w:bookmarkStart w:id="39" w:name="欧洲量子技术战略进展"/>
    <w:p>
      <w:pPr>
        <w:pStyle w:val="Heading3"/>
      </w:pPr>
      <w:r>
        <w:t xml:space="preserve">4.2 欧洲量子技术战略进展</w:t>
      </w:r>
    </w:p>
    <w:p>
      <w:pPr>
        <w:numPr>
          <w:ilvl w:val="0"/>
          <w:numId w:val="1020"/>
        </w:numPr>
        <w:pStyle w:val="Compact"/>
      </w:pPr>
      <w:r>
        <w:rPr>
          <w:bCs/>
          <w:b/>
        </w:rPr>
        <w:t xml:space="preserve">日期</w:t>
      </w:r>
      <w:r>
        <w:t xml:space="preserve">: 2026-02-24（信息披露）</w:t>
      </w:r>
    </w:p>
    <w:p>
      <w:pPr>
        <w:numPr>
          <w:ilvl w:val="0"/>
          <w:numId w:val="1020"/>
        </w:numPr>
        <w:pStyle w:val="Compact"/>
      </w:pPr>
      <w:r>
        <w:rPr>
          <w:bCs/>
          <w:b/>
        </w:rPr>
        <w:t xml:space="preserve">来源</w:t>
      </w:r>
      <w:r>
        <w:t xml:space="preserve">: 国盾量子年报</w:t>
      </w:r>
    </w:p>
    <w:p>
      <w:pPr>
        <w:numPr>
          <w:ilvl w:val="0"/>
          <w:numId w:val="1020"/>
        </w:numPr>
        <w:pStyle w:val="Compact"/>
      </w:pPr>
      <w:r>
        <w:rPr>
          <w:bCs/>
          <w:b/>
        </w:rPr>
        <w:t xml:space="preserve">摘要</w:t>
      </w:r>
      <w:r>
        <w:t xml:space="preserve">: 2025年上半年，22个欧盟成员国签署《欧洲量子技术宣言》，欧盟启动《量子欧洲战略》。芬兰、西班牙政府宣布2025-2030年量子技术战略。欧洲量子技术正从科研强国向量子产业强国转型。</w:t>
      </w:r>
    </w:p>
    <w:bookmarkEnd w:id="39"/>
    <w:bookmarkStart w:id="40" w:name="合肥量子大道产业集群"/>
    <w:p>
      <w:pPr>
        <w:pStyle w:val="Heading3"/>
      </w:pPr>
      <w:r>
        <w:t xml:space="preserve">4.3 合肥”量子大道”产业集群</w:t>
      </w:r>
    </w:p>
    <w:p>
      <w:pPr>
        <w:numPr>
          <w:ilvl w:val="0"/>
          <w:numId w:val="1021"/>
        </w:numPr>
        <w:pStyle w:val="Compact"/>
      </w:pPr>
      <w:r>
        <w:rPr>
          <w:bCs/>
          <w:b/>
        </w:rPr>
        <w:t xml:space="preserve">日期</w:t>
      </w:r>
      <w:r>
        <w:t xml:space="preserve">: 2026-02-24</w:t>
      </w:r>
    </w:p>
    <w:p>
      <w:pPr>
        <w:numPr>
          <w:ilvl w:val="0"/>
          <w:numId w:val="1021"/>
        </w:numPr>
        <w:pStyle w:val="Compact"/>
      </w:pPr>
      <w:r>
        <w:rPr>
          <w:bCs/>
          <w:b/>
        </w:rPr>
        <w:t xml:space="preserve">来源</w:t>
      </w:r>
      <w:r>
        <w:t xml:space="preserve">: 安徽国资 / 中安在线</w:t>
      </w:r>
    </w:p>
    <w:p>
      <w:pPr>
        <w:numPr>
          <w:ilvl w:val="0"/>
          <w:numId w:val="1021"/>
        </w:numPr>
        <w:pStyle w:val="Compact"/>
      </w:pPr>
      <w:r>
        <w:rPr>
          <w:bCs/>
          <w:b/>
        </w:rPr>
        <w:t xml:space="preserve">摘要</w:t>
      </w:r>
      <w:r>
        <w:t xml:space="preserve">: 合肥高新区云飞路”量子大道”聚集国盾量子、本源量子、国仪量子等超30家量子科技企业，产业版图覆盖量子通信、量子计算、量子测量等核心领域。近三年合肥量子领域成果转化设立企业21家，67项科技成果实现产业化，培育集聚量子产业链企业93家，居全国首位。</w:t>
      </w:r>
    </w:p>
    <w:bookmarkEnd w:id="40"/>
    <w:bookmarkStart w:id="41" w:name="技术路线竞争态势"/>
    <w:p>
      <w:pPr>
        <w:pStyle w:val="Heading3"/>
      </w:pPr>
      <w:r>
        <w:t xml:space="preserve">4.4 技术路线竞争态势</w:t>
      </w:r>
    </w:p>
    <w:p>
      <w:pPr>
        <w:numPr>
          <w:ilvl w:val="0"/>
          <w:numId w:val="1022"/>
        </w:numPr>
        <w:pStyle w:val="Compact"/>
      </w:pPr>
      <w:r>
        <w:rPr>
          <w:bCs/>
          <w:b/>
        </w:rPr>
        <w:t xml:space="preserve">超导量子计算</w:t>
      </w:r>
      <w:r>
        <w:t xml:space="preserve">: IBM、谷歌、本源量子、国盾量子主导</w:t>
      </w:r>
    </w:p>
    <w:p>
      <w:pPr>
        <w:numPr>
          <w:ilvl w:val="0"/>
          <w:numId w:val="1022"/>
        </w:numPr>
        <w:pStyle w:val="Compact"/>
      </w:pPr>
      <w:r>
        <w:rPr>
          <w:bCs/>
          <w:b/>
        </w:rPr>
        <w:t xml:space="preserve">离子阱量子计算</w:t>
      </w:r>
      <w:r>
        <w:t xml:space="preserve">: IonQ、Quantinuum、华翊量子领先</w:t>
      </w:r>
    </w:p>
    <w:p>
      <w:pPr>
        <w:numPr>
          <w:ilvl w:val="0"/>
          <w:numId w:val="1022"/>
        </w:numPr>
        <w:pStyle w:val="Compact"/>
      </w:pPr>
      <w:r>
        <w:rPr>
          <w:bCs/>
          <w:b/>
        </w:rPr>
        <w:t xml:space="preserve">中性原子量子计算</w:t>
      </w:r>
      <w:r>
        <w:t xml:space="preserve">: QuEra、PASQAL、不筹量子布局</w:t>
      </w:r>
    </w:p>
    <w:p>
      <w:pPr>
        <w:numPr>
          <w:ilvl w:val="0"/>
          <w:numId w:val="1022"/>
        </w:numPr>
        <w:pStyle w:val="Compact"/>
      </w:pPr>
      <w:r>
        <w:rPr>
          <w:bCs/>
          <w:b/>
        </w:rPr>
        <w:t xml:space="preserve">光量子计算</w:t>
      </w:r>
      <w:r>
        <w:t xml:space="preserve">: Xanadu、图灵量子、PsiQuantum发展</w:t>
      </w:r>
    </w:p>
    <w:p>
      <w:pPr>
        <w:numPr>
          <w:ilvl w:val="0"/>
          <w:numId w:val="1022"/>
        </w:numPr>
        <w:pStyle w:val="Compact"/>
      </w:pPr>
      <w:r>
        <w:rPr>
          <w:bCs/>
          <w:b/>
        </w:rPr>
        <w:t xml:space="preserve">硅基量子计算</w:t>
      </w:r>
      <w:r>
        <w:t xml:space="preserve">: Diraq、Quantum Motion推进</w:t>
      </w:r>
    </w:p>
    <w:p>
      <w:r>
        <w:pict>
          <v:rect style="width:0;height:1.5pt" o:hralign="center" o:hrstd="t" o:hr="t"/>
        </w:pict>
      </w:r>
    </w:p>
    <w:bookmarkEnd w:id="41"/>
    <w:bookmarkEnd w:id="42"/>
    <w:bookmarkStart w:id="43" w:name="附录情报来源汇总"/>
    <w:p>
      <w:pPr>
        <w:pStyle w:val="Heading2"/>
      </w:pPr>
      <w:r>
        <w:t xml:space="preserve">附录：情报来源汇总</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情报标题</w:t>
            </w:r>
          </w:p>
        </w:tc>
        <w:tc>
          <w:tcPr/>
          <w:p>
            <w:pPr>
              <w:pStyle w:val="Compact"/>
              <w:jc w:val="left"/>
            </w:pPr>
            <w:r>
              <w:t xml:space="preserve">日期</w:t>
            </w:r>
          </w:p>
        </w:tc>
        <w:tc>
          <w:tcPr/>
          <w:p>
            <w:pPr>
              <w:pStyle w:val="Compact"/>
              <w:jc w:val="left"/>
            </w:pPr>
            <w:r>
              <w:t xml:space="preserve">来源</w:t>
            </w:r>
          </w:p>
        </w:tc>
      </w:tr>
      <w:tr>
        <w:tc>
          <w:tcPr/>
          <w:p>
            <w:pPr>
              <w:pStyle w:val="Compact"/>
              <w:jc w:val="left"/>
            </w:pPr>
            <w:r>
              <w:t xml:space="preserve">1</w:t>
            </w:r>
          </w:p>
        </w:tc>
        <w:tc>
          <w:tcPr/>
          <w:p>
            <w:pPr>
              <w:pStyle w:val="Compact"/>
              <w:jc w:val="left"/>
            </w:pPr>
            <w:r>
              <w:t xml:space="preserve">本源司南操作系统开放下载</w:t>
            </w:r>
          </w:p>
        </w:tc>
        <w:tc>
          <w:tcPr/>
          <w:p>
            <w:pPr>
              <w:pStyle w:val="Compact"/>
              <w:jc w:val="left"/>
            </w:pPr>
            <w:r>
              <w:t xml:space="preserve">2026-02-24</w:t>
            </w:r>
          </w:p>
        </w:tc>
        <w:tc>
          <w:tcPr/>
          <w:p>
            <w:pPr>
              <w:pStyle w:val="Compact"/>
              <w:jc w:val="left"/>
            </w:pPr>
            <w:r>
              <w:t xml:space="preserve">上海证券报</w:t>
            </w:r>
          </w:p>
        </w:tc>
      </w:tr>
      <w:tr>
        <w:tc>
          <w:tcPr/>
          <w:p>
            <w:pPr>
              <w:pStyle w:val="Compact"/>
              <w:jc w:val="left"/>
            </w:pPr>
            <w:r>
              <w:t xml:space="preserve">2</w:t>
            </w:r>
          </w:p>
        </w:tc>
        <w:tc>
          <w:tcPr/>
          <w:p>
            <w:pPr>
              <w:pStyle w:val="Compact"/>
              <w:jc w:val="left"/>
            </w:pPr>
            <w:r>
              <w:t xml:space="preserve">中国量子信息损失控制突破</w:t>
            </w:r>
          </w:p>
        </w:tc>
        <w:tc>
          <w:tcPr/>
          <w:p>
            <w:pPr>
              <w:pStyle w:val="Compact"/>
              <w:jc w:val="left"/>
            </w:pPr>
            <w:r>
              <w:t xml:space="preserve">2026-02-23</w:t>
            </w:r>
          </w:p>
        </w:tc>
        <w:tc>
          <w:tcPr/>
          <w:p>
            <w:pPr>
              <w:pStyle w:val="Compact"/>
              <w:jc w:val="left"/>
            </w:pPr>
            <w:r>
              <w:t xml:space="preserve">Nature/中科大</w:t>
            </w:r>
          </w:p>
        </w:tc>
      </w:tr>
      <w:tr>
        <w:tc>
          <w:tcPr/>
          <w:p>
            <w:pPr>
              <w:pStyle w:val="Compact"/>
              <w:jc w:val="left"/>
            </w:pPr>
            <w:r>
              <w:t xml:space="preserve">3</w:t>
            </w:r>
          </w:p>
        </w:tc>
        <w:tc>
          <w:tcPr/>
          <w:p>
            <w:pPr>
              <w:pStyle w:val="Compact"/>
              <w:jc w:val="left"/>
            </w:pPr>
            <w:r>
              <w:t xml:space="preserve">IonQ国家安全需求前景</w:t>
            </w:r>
          </w:p>
        </w:tc>
        <w:tc>
          <w:tcPr/>
          <w:p>
            <w:pPr>
              <w:pStyle w:val="Compact"/>
              <w:jc w:val="left"/>
            </w:pPr>
            <w:r>
              <w:t xml:space="preserve">2026-02-24</w:t>
            </w:r>
          </w:p>
        </w:tc>
        <w:tc>
          <w:tcPr/>
          <w:p>
            <w:pPr>
              <w:pStyle w:val="Compact"/>
              <w:jc w:val="left"/>
            </w:pPr>
            <w:r>
              <w:t xml:space="preserve">Zacks</w:t>
            </w:r>
          </w:p>
        </w:tc>
      </w:tr>
      <w:tr>
        <w:tc>
          <w:tcPr/>
          <w:p>
            <w:pPr>
              <w:pStyle w:val="Compact"/>
              <w:jc w:val="left"/>
            </w:pPr>
            <w:r>
              <w:t xml:space="preserve">4</w:t>
            </w:r>
          </w:p>
        </w:tc>
        <w:tc>
          <w:tcPr/>
          <w:p>
            <w:pPr>
              <w:pStyle w:val="Compact"/>
              <w:jc w:val="left"/>
            </w:pPr>
            <w:r>
              <w:t xml:space="preserve">量子计算股票2026展望</w:t>
            </w:r>
          </w:p>
        </w:tc>
        <w:tc>
          <w:tcPr/>
          <w:p>
            <w:pPr>
              <w:pStyle w:val="Compact"/>
              <w:jc w:val="left"/>
            </w:pPr>
            <w:r>
              <w:t xml:space="preserve">2026-02-23</w:t>
            </w:r>
          </w:p>
        </w:tc>
        <w:tc>
          <w:tcPr/>
          <w:p>
            <w:pPr>
              <w:pStyle w:val="Compact"/>
              <w:jc w:val="left"/>
            </w:pPr>
            <w:r>
              <w:t xml:space="preserve">Investors.com</w:t>
            </w:r>
          </w:p>
        </w:tc>
      </w:tr>
      <w:tr>
        <w:tc>
          <w:tcPr/>
          <w:p>
            <w:pPr>
              <w:pStyle w:val="Compact"/>
              <w:jc w:val="left"/>
            </w:pPr>
            <w:r>
              <w:t xml:space="preserve">5</w:t>
            </w:r>
          </w:p>
        </w:tc>
        <w:tc>
          <w:tcPr/>
          <w:p>
            <w:pPr>
              <w:pStyle w:val="Compact"/>
              <w:jc w:val="left"/>
            </w:pPr>
            <w:r>
              <w:t xml:space="preserve">合肥超量融合计算中心</w:t>
            </w:r>
          </w:p>
        </w:tc>
        <w:tc>
          <w:tcPr/>
          <w:p>
            <w:pPr>
              <w:pStyle w:val="Compact"/>
              <w:jc w:val="left"/>
            </w:pPr>
            <w:r>
              <w:t xml:space="preserve">2026-02-24</w:t>
            </w:r>
          </w:p>
        </w:tc>
        <w:tc>
          <w:tcPr/>
          <w:p>
            <w:pPr>
              <w:pStyle w:val="Compact"/>
              <w:jc w:val="left"/>
            </w:pPr>
            <w:r>
              <w:t xml:space="preserve">证券时报</w:t>
            </w:r>
          </w:p>
        </w:tc>
      </w:tr>
      <w:tr>
        <w:tc>
          <w:tcPr/>
          <w:p>
            <w:pPr>
              <w:pStyle w:val="Compact"/>
              <w:jc w:val="left"/>
            </w:pPr>
            <w:r>
              <w:t xml:space="preserve">6</w:t>
            </w:r>
          </w:p>
        </w:tc>
        <w:tc>
          <w:tcPr/>
          <w:p>
            <w:pPr>
              <w:pStyle w:val="Compact"/>
              <w:jc w:val="left"/>
            </w:pPr>
            <w:r>
              <w:t xml:space="preserve">中国量子科技融资25亿</w:t>
            </w:r>
          </w:p>
        </w:tc>
        <w:tc>
          <w:tcPr/>
          <w:p>
            <w:pPr>
              <w:pStyle w:val="Compact"/>
              <w:jc w:val="left"/>
            </w:pPr>
            <w:r>
              <w:t xml:space="preserve">2026-02-23</w:t>
            </w:r>
          </w:p>
        </w:tc>
        <w:tc>
          <w:tcPr/>
          <w:p>
            <w:pPr>
              <w:pStyle w:val="Compact"/>
              <w:jc w:val="left"/>
            </w:pPr>
            <w:r>
              <w:t xml:space="preserve">财联社</w:t>
            </w:r>
          </w:p>
        </w:tc>
      </w:tr>
      <w:tr>
        <w:tc>
          <w:tcPr/>
          <w:p>
            <w:pPr>
              <w:pStyle w:val="Compact"/>
              <w:jc w:val="left"/>
            </w:pPr>
            <w:r>
              <w:t xml:space="preserve">7</w:t>
            </w:r>
          </w:p>
        </w:tc>
        <w:tc>
          <w:tcPr/>
          <w:p>
            <w:pPr>
              <w:pStyle w:val="Compact"/>
              <w:jc w:val="left"/>
            </w:pPr>
            <w:r>
              <w:t xml:space="preserve">本源量子IPO进程</w:t>
            </w:r>
          </w:p>
        </w:tc>
        <w:tc>
          <w:tcPr/>
          <w:p>
            <w:pPr>
              <w:pStyle w:val="Compact"/>
              <w:jc w:val="left"/>
            </w:pPr>
            <w:r>
              <w:t xml:space="preserve">2026-02-24</w:t>
            </w:r>
          </w:p>
        </w:tc>
        <w:tc>
          <w:tcPr/>
          <w:p>
            <w:pPr>
              <w:pStyle w:val="Compact"/>
              <w:jc w:val="left"/>
            </w:pPr>
            <w:r>
              <w:t xml:space="preserve">东方财富</w:t>
            </w:r>
          </w:p>
        </w:tc>
      </w:tr>
      <w:tr>
        <w:tc>
          <w:tcPr/>
          <w:p>
            <w:pPr>
              <w:pStyle w:val="Compact"/>
              <w:jc w:val="left"/>
            </w:pPr>
            <w:r>
              <w:t xml:space="preserve">8</w:t>
            </w:r>
          </w:p>
        </w:tc>
        <w:tc>
          <w:tcPr/>
          <w:p>
            <w:pPr>
              <w:pStyle w:val="Compact"/>
              <w:jc w:val="left"/>
            </w:pPr>
            <w:r>
              <w:t xml:space="preserve">晶格手术容错量子操作</w:t>
            </w:r>
          </w:p>
        </w:tc>
        <w:tc>
          <w:tcPr/>
          <w:p>
            <w:pPr>
              <w:pStyle w:val="Compact"/>
              <w:jc w:val="left"/>
            </w:pPr>
            <w:r>
              <w:t xml:space="preserve">2026-02-20</w:t>
            </w:r>
          </w:p>
        </w:tc>
        <w:tc>
          <w:tcPr/>
          <w:p>
            <w:pPr>
              <w:pStyle w:val="Compact"/>
              <w:jc w:val="left"/>
            </w:pPr>
            <w:r>
              <w:t xml:space="preserve">Nature Physics</w:t>
            </w:r>
          </w:p>
        </w:tc>
      </w:tr>
      <w:tr>
        <w:tc>
          <w:tcPr/>
          <w:p>
            <w:pPr>
              <w:pStyle w:val="Compact"/>
              <w:jc w:val="left"/>
            </w:pPr>
            <w:r>
              <w:t xml:space="preserve">9</w:t>
            </w:r>
          </w:p>
        </w:tc>
        <w:tc>
          <w:tcPr/>
          <w:p>
            <w:pPr>
              <w:pStyle w:val="Compact"/>
              <w:jc w:val="left"/>
            </w:pPr>
            <w:r>
              <w:t xml:space="preserve">实时量子比特波动追踪</w:t>
            </w:r>
          </w:p>
        </w:tc>
        <w:tc>
          <w:tcPr/>
          <w:p>
            <w:pPr>
              <w:pStyle w:val="Compact"/>
              <w:jc w:val="left"/>
            </w:pPr>
            <w:r>
              <w:t xml:space="preserve">2026-02-20</w:t>
            </w:r>
          </w:p>
        </w:tc>
        <w:tc>
          <w:tcPr/>
          <w:p>
            <w:pPr>
              <w:pStyle w:val="Compact"/>
              <w:jc w:val="left"/>
            </w:pPr>
            <w:r>
              <w:t xml:space="preserve">Nature</w:t>
            </w:r>
          </w:p>
        </w:tc>
      </w:tr>
      <w:tr>
        <w:tc>
          <w:tcPr/>
          <w:p>
            <w:pPr>
              <w:pStyle w:val="Compact"/>
              <w:jc w:val="left"/>
            </w:pPr>
            <w:r>
              <w:t xml:space="preserve">10</w:t>
            </w:r>
          </w:p>
        </w:tc>
        <w:tc>
          <w:tcPr/>
          <w:p>
            <w:pPr>
              <w:pStyle w:val="Compact"/>
              <w:jc w:val="left"/>
            </w:pPr>
            <w:r>
              <w:t xml:space="preserve">马约拉纳量子比特突破</w:t>
            </w:r>
          </w:p>
        </w:tc>
        <w:tc>
          <w:tcPr/>
          <w:p>
            <w:pPr>
              <w:pStyle w:val="Compact"/>
              <w:jc w:val="left"/>
            </w:pPr>
            <w:r>
              <w:t xml:space="preserve">2026-02-16</w:t>
            </w:r>
          </w:p>
        </w:tc>
        <w:tc>
          <w:tcPr/>
          <w:p>
            <w:pPr>
              <w:pStyle w:val="Compact"/>
              <w:jc w:val="left"/>
            </w:pPr>
            <w:r>
              <w:t xml:space="preserve">ScienceDaily</w:t>
            </w:r>
          </w:p>
        </w:tc>
      </w:tr>
    </w:tbl>
    <w:p>
      <w:r>
        <w:pict>
          <v:rect style="width:0;height:1.5pt" o:hralign="center" o:hrstd="t" o:hr="t"/>
        </w:pict>
      </w:r>
    </w:p>
    <w:p>
      <w:pPr>
        <w:pStyle w:val="FirstParagraph"/>
      </w:pPr>
      <w:r>
        <w:rPr>
          <w:bCs/>
          <w:b/>
        </w:rPr>
        <w:t xml:space="preserve">报告编制说明</w:t>
      </w:r>
      <w:r>
        <w:t xml:space="preserve">:</w:t>
      </w:r>
      <w:r>
        <w:t xml:space="preserve"> </w:t>
      </w:r>
      <w:r>
        <w:t xml:space="preserve">- 本报告严格遵循2026-02-17至2026-02-24时间范围筛选</w:t>
      </w:r>
      <w:r>
        <w:t xml:space="preserve"> </w:t>
      </w:r>
      <w:r>
        <w:t xml:space="preserve">- 所有情报均经过日期验证，不在此范围内的数据已淘汰</w:t>
      </w:r>
      <w:r>
        <w:t xml:space="preserve"> </w:t>
      </w:r>
      <w:r>
        <w:t xml:space="preserve">- 部分搜索结果因日期不符（如2025年、2024年数据）未纳入本报告</w:t>
      </w:r>
      <w:r>
        <w:t xml:space="preserve"> </w:t>
      </w:r>
      <w:r>
        <w:t xml:space="preserve">- 报告生成时间: 2026-02-24</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2026-02-24T07:12:39Z</dcterms:created>
  <dcterms:modified xsi:type="dcterms:W3CDTF">2026-02-24T07:12:39Z</dcterms:modified>
</cp:coreProperties>
</file>

<file path=docProps/custom.xml><?xml version="1.0" encoding="utf-8"?>
<Properties xmlns="http://schemas.openxmlformats.org/officeDocument/2006/custom-properties" xmlns:vt="http://schemas.openxmlformats.org/officeDocument/2006/docPropsVTypes"/>
</file>