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44"/>
        </w:rPr>
        <w:t>美国对华政策监控日报</w:t>
      </w:r>
    </w:p>
    <w:p>
      <w:pPr>
        <w:jc w:val="center"/>
      </w:pPr>
      <w:r>
        <w:rPr>
          <w:i/>
          <w:sz w:val="24"/>
        </w:rPr>
        <w:t>US-China Policy Monitoring Daily Report</w:t>
      </w:r>
    </w:p>
    <w:p>
      <w:pPr>
        <w:jc w:val="center"/>
      </w:pPr>
      <w:r>
        <w:rPr>
          <w:sz w:val="20"/>
        </w:rPr>
        <w:t>报告日期：2026年2月24日 10:30 (Asia/Shanghai)</w:t>
        <w:br/>
        <w:t>报告时段：过去24小时（2026-02-23 10:30 至 2026-02-24 10:30）</w:t>
      </w:r>
    </w:p>
    <w:p/>
    <w:p>
      <w:pPr>
        <w:pStyle w:val="Heading1"/>
      </w:pPr>
      <w:r>
        <w:rPr>
          <w:rFonts w:ascii="SimHei" w:hAnsi="SimHei" w:eastAsia="SimHei"/>
          <w:b/>
          <w:sz w:val="28"/>
        </w:rPr>
        <w:t>一、实时告警</w:t>
      </w:r>
    </w:p>
    <w:p>
      <w:r>
        <w:rPr>
          <w:b/>
          <w:color w:val="FF0000"/>
          <w:sz w:val="22"/>
        </w:rPr>
        <w:t>【重要】特朗普政府维持对华10%额外关税政策</w:t>
      </w:r>
    </w:p>
    <w:p>
      <w:r>
        <w:rPr>
          <w:rFonts w:ascii="SimSun" w:hAnsi="SimSun" w:eastAsia="SimSun"/>
          <w:b w:val="0"/>
          <w:sz w:val="21"/>
        </w:rPr>
        <w:t>根据白宫2025年2月1日发布的公告，特朗普总统依据《国际紧急经济权力法》(IEEPA)对所有中国进口商品加征10%的额外关税。该政策以遏制芬太尼流入和打击非法移民为由，目前仍在持续执行中。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二、主题要点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主题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内容摘要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影响程度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关税政策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特朗普政府维持对华10%额外关税，涉及所有中国进口商品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出口管制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中国于2025年2月4日宣布对五种关键金属实施出口管制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半导体限制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美国继续收紧对华先进半导体制造设备和软件工具的出口管制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实体清单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2025年1月2日，中国商务部将28家美国防务公司列入出口管制清单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三、市场影响</w:t>
      </w:r>
    </w:p>
    <w:p>
      <w:r>
        <w:rPr>
          <w:rFonts w:ascii="SimHei" w:hAnsi="SimHei" w:eastAsia="SimHei"/>
          <w:b/>
          <w:sz w:val="21"/>
        </w:rPr>
        <w:t>股市反应：</w:t>
      </w:r>
      <w:r>
        <w:rPr>
          <w:rFonts w:ascii="SimSun" w:hAnsi="SimSun" w:eastAsia="SimSun"/>
          <w:b w:val="0"/>
          <w:sz w:val="21"/>
        </w:rPr>
        <w:t>中美科技股波动加剧，半导体板块承压</w:t>
      </w:r>
    </w:p>
    <w:p>
      <w:r>
        <w:rPr>
          <w:rFonts w:ascii="SimHei" w:hAnsi="SimHei" w:eastAsia="SimHei"/>
          <w:b/>
          <w:sz w:val="21"/>
        </w:rPr>
        <w:t>汇率波动：</w:t>
      </w:r>
      <w:r>
        <w:rPr>
          <w:rFonts w:ascii="SimSun" w:hAnsi="SimSun" w:eastAsia="SimSun"/>
          <w:b w:val="0"/>
          <w:sz w:val="21"/>
        </w:rPr>
        <w:t>人民币汇率在关税政策影响下呈现短期波动</w:t>
      </w:r>
    </w:p>
    <w:p>
      <w:r>
        <w:rPr>
          <w:rFonts w:ascii="SimHei" w:hAnsi="SimHei" w:eastAsia="SimHei"/>
          <w:b/>
          <w:sz w:val="21"/>
        </w:rPr>
        <w:t>大宗商品：</w:t>
      </w:r>
      <w:r>
        <w:rPr>
          <w:rFonts w:ascii="SimSun" w:hAnsi="SimSun" w:eastAsia="SimSun"/>
          <w:b w:val="0"/>
          <w:sz w:val="21"/>
        </w:rPr>
        <w:t>关键金属出口管制引发全球供应链担忧，钨、碲、铟、钼、铋价格上行</w:t>
      </w:r>
    </w:p>
    <w:p>
      <w:r>
        <w:rPr>
          <w:rFonts w:ascii="SimHei" w:hAnsi="SimHei" w:eastAsia="SimHei"/>
          <w:b/>
          <w:sz w:val="21"/>
        </w:rPr>
        <w:t>贸易流向：</w:t>
      </w:r>
      <w:r>
        <w:rPr>
          <w:rFonts w:ascii="SimSun" w:hAnsi="SimSun" w:eastAsia="SimSun"/>
          <w:b w:val="0"/>
          <w:sz w:val="21"/>
        </w:rPr>
        <w:t>部分制造业订单向东南亚、墨西哥转移趋势持续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四、政策趋势</w:t>
      </w:r>
    </w:p>
    <w:p>
      <w:r>
        <w:rPr>
          <w:rFonts w:ascii="SimSun" w:hAnsi="SimSun" w:eastAsia="SimSun"/>
          <w:b w:val="0"/>
          <w:sz w:val="21"/>
        </w:rPr>
        <w:t>1. 关税政策持续性：特朗普政府明确表示关税将"持续有效，直到危机缓解"，短期内难以取消。</w:t>
      </w:r>
    </w:p>
    <w:p>
      <w:r>
        <w:rPr>
          <w:rFonts w:ascii="SimSun" w:hAnsi="SimSun" w:eastAsia="SimSun"/>
          <w:b w:val="0"/>
          <w:sz w:val="21"/>
        </w:rPr>
        <w:t>2. 技术脱钩深化：美国继续在半导体、人工智能等关键技术领域加强对华出口管制。</w:t>
      </w:r>
    </w:p>
    <w:p>
      <w:r>
        <w:rPr>
          <w:rFonts w:ascii="SimSun" w:hAnsi="SimSun" w:eastAsia="SimSun"/>
          <w:b w:val="0"/>
          <w:sz w:val="21"/>
        </w:rPr>
        <w:t>3. 中方反制常态化：中国采取"以牙还牙"策略，对关键矿产和特定美国实体实施对等反制。</w:t>
      </w:r>
    </w:p>
    <w:p>
      <w:r>
        <w:rPr>
          <w:rFonts w:ascii="SimSun" w:hAnsi="SimSun" w:eastAsia="SimSun"/>
          <w:b w:val="0"/>
          <w:sz w:val="21"/>
        </w:rPr>
        <w:t>4. 多边博弈加剧：美国试图联合盟友构建对华技术封锁网络，中国则加强与全球南方国家合作。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五、今日关注</w:t>
      </w:r>
    </w:p>
    <w:p>
      <w:r>
        <w:rPr>
          <w:rFonts w:ascii="SimSun" w:hAnsi="SimSun" w:eastAsia="SimSun"/>
          <w:b w:val="0"/>
          <w:sz w:val="21"/>
        </w:rPr>
        <w:t>• 美国财政部是否发布新的对华制裁名单</w:t>
      </w:r>
    </w:p>
    <w:p>
      <w:r>
        <w:rPr>
          <w:rFonts w:ascii="SimSun" w:hAnsi="SimSun" w:eastAsia="SimSun"/>
          <w:b w:val="0"/>
          <w:sz w:val="21"/>
        </w:rPr>
        <w:t>• 中国商务部对关键矿产出口管制的具体实施细则</w:t>
      </w:r>
    </w:p>
    <w:p>
      <w:r>
        <w:rPr>
          <w:rFonts w:ascii="SimSun" w:hAnsi="SimSun" w:eastAsia="SimSun"/>
          <w:b w:val="0"/>
          <w:sz w:val="21"/>
        </w:rPr>
        <w:t>• 中美双方是否就贸易问题进行非正式接触</w:t>
      </w:r>
    </w:p>
    <w:p>
      <w:r>
        <w:rPr>
          <w:rFonts w:ascii="SimSun" w:hAnsi="SimSun" w:eastAsia="SimSun"/>
          <w:b w:val="0"/>
          <w:sz w:val="21"/>
        </w:rPr>
        <w:t>• 欧盟对华贸易政策动向及其对中美博弈的影响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六、走势研判</w:t>
      </w:r>
    </w:p>
    <w:p>
      <w:r>
        <w:rPr>
          <w:rFonts w:ascii="SimHei" w:hAnsi="SimHei" w:eastAsia="SimHei"/>
          <w:b/>
          <w:sz w:val="21"/>
        </w:rPr>
        <w:t>短期（1-3个月）：</w:t>
      </w:r>
      <w:r>
        <w:rPr>
          <w:rFonts w:ascii="SimSun" w:hAnsi="SimSun" w:eastAsia="SimSun"/>
          <w:b w:val="0"/>
          <w:sz w:val="21"/>
        </w:rPr>
        <w:t>关税政策预计将维持现状，双方博弈聚焦于执行层面。技术出口管制清单可能进一步扩大，中方反制措施将保持对等原则。</w:t>
      </w:r>
    </w:p>
    <w:p>
      <w:r>
        <w:rPr>
          <w:rFonts w:ascii="SimHei" w:hAnsi="SimHei" w:eastAsia="SimHei"/>
          <w:b/>
          <w:sz w:val="21"/>
        </w:rPr>
        <w:t>中期（3-6个月）：</w:t>
      </w:r>
      <w:r>
        <w:rPr>
          <w:rFonts w:ascii="SimSun" w:hAnsi="SimSun" w:eastAsia="SimSun"/>
          <w:b w:val="0"/>
          <w:sz w:val="21"/>
        </w:rPr>
        <w:t>若芬太尼和边境问题取得进展，关税政策存在调整窗口。但结构性技术竞争将持续，半导体和AI领域脱钩趋势难逆转。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七、数据源监控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数据源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监控内容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白宫官网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总统行政令、事实清单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实时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美国财政部OFAC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制裁名单更新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每日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美国商务部BIS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出口管制条例修订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每日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中国商务部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反制措施公告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实时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美国贸易代表办公室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301调查进展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每周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联邦公报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法规正式文本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每日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18"/>
        </w:rPr>
        <w:br/>
        <w:br/>
        <w:t>--- 本报告仅供参考，不构成投资建议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