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【量子科技情报日报】</w:t>
      </w:r>
    </w:p>
    <w:p>
      <w:pPr>
        <w:pStyle w:val="Heading1"/>
      </w:pPr>
      <w:r>
        <w:t>报告头部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报告日期</w:t>
            </w:r>
          </w:p>
        </w:tc>
        <w:tc>
          <w:tcPr>
            <w:tcW w:type="dxa" w:w="4320"/>
          </w:tcPr>
          <w:p>
            <w:r>
              <w:t>2026年2月26日 07:00 (Asia/Shanghai)</w:t>
            </w:r>
          </w:p>
        </w:tc>
      </w:tr>
      <w:tr>
        <w:tc>
          <w:tcPr>
            <w:tcW w:type="dxa" w:w="4320"/>
          </w:tcPr>
          <w:p>
            <w:r>
              <w:t>报告时段</w:t>
            </w:r>
          </w:p>
        </w:tc>
        <w:tc>
          <w:tcPr>
            <w:tcW w:type="dxa" w:w="4320"/>
          </w:tcPr>
          <w:p>
            <w:r>
              <w:t>过去24小时</w:t>
            </w:r>
          </w:p>
        </w:tc>
      </w:tr>
      <w:tr>
        <w:tc>
          <w:tcPr>
            <w:tcW w:type="dxa" w:w="4320"/>
          </w:tcPr>
          <w:p>
            <w:r>
              <w:t>编制</w:t>
            </w:r>
          </w:p>
        </w:tc>
        <w:tc>
          <w:tcPr>
            <w:tcW w:type="dxa" w:w="4320"/>
          </w:tcPr>
          <w:p>
            <w:r>
              <w:t>Quantum Tech Intelligence Department</w:t>
            </w:r>
          </w:p>
        </w:tc>
      </w:tr>
      <w:tr>
        <w:tc>
          <w:tcPr>
            <w:tcW w:type="dxa" w:w="4320"/>
          </w:tcPr>
          <w:p>
            <w:r>
              <w:t>分析师</w:t>
            </w:r>
          </w:p>
        </w:tc>
        <w:tc>
          <w:tcPr>
            <w:tcW w:type="dxa" w:w="4320"/>
          </w:tcPr>
          <w:p>
            <w:r>
              <w:t>布鲁诺·布加拉提、空条承太郎、乔鲁诺·乔巴拿、广濑康一</w:t>
            </w:r>
          </w:p>
        </w:tc>
      </w:tr>
    </w:tbl>
    <w:p/>
    <w:p>
      <w:pPr>
        <w:pStyle w:val="Heading1"/>
      </w:pPr>
      <w:r>
        <w:t>1) 🚨 实时告警</w:t>
      </w:r>
    </w:p>
    <w:p>
      <w:pPr>
        <w:pStyle w:val="Heading2"/>
      </w:pPr>
      <w:r>
        <w:t>【P0】重大突破/政策变化/制裁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影响评估</w:t>
            </w:r>
          </w:p>
        </w:tc>
      </w:tr>
      <w:tr>
        <w:tc>
          <w:tcPr>
            <w:tcW w:type="dxa" w:w="2880"/>
          </w:tcPr>
          <w:p>
            <w:r>
              <w:t>2025.11</w:t>
            </w:r>
          </w:p>
        </w:tc>
        <w:tc>
          <w:tcPr>
            <w:tcW w:type="dxa" w:w="2880"/>
          </w:tcPr>
          <w:p>
            <w:r>
              <w:t>IBM发布Nighthawk量子处理器</w:t>
            </w:r>
          </w:p>
        </w:tc>
        <w:tc>
          <w:tcPr>
            <w:tcW w:type="dxa" w:w="2880"/>
          </w:tcPr>
          <w:p>
            <w:r>
              <w:t>120量子比特，电路复杂度提升30%</w:t>
            </w:r>
          </w:p>
        </w:tc>
      </w:tr>
      <w:tr>
        <w:tc>
          <w:tcPr>
            <w:tcW w:type="dxa" w:w="2880"/>
          </w:tcPr>
          <w:p>
            <w:r>
              <w:t>2025.10</w:t>
            </w:r>
          </w:p>
        </w:tc>
        <w:tc>
          <w:tcPr>
            <w:tcW w:type="dxa" w:w="2880"/>
          </w:tcPr>
          <w:p>
            <w:r>
              <w:t>Google Willow芯片突破</w:t>
            </w:r>
          </w:p>
        </w:tc>
        <w:tc>
          <w:tcPr>
            <w:tcW w:type="dxa" w:w="2880"/>
          </w:tcPr>
          <w:p>
            <w:r>
              <w:t>105超导量子比特，指数级错误减少</w:t>
            </w:r>
          </w:p>
        </w:tc>
      </w:tr>
      <w:tr>
        <w:tc>
          <w:tcPr>
            <w:tcW w:type="dxa" w:w="2880"/>
          </w:tcPr>
          <w:p>
            <w:r>
              <w:t>2025.09</w:t>
            </w:r>
          </w:p>
        </w:tc>
        <w:tc>
          <w:tcPr>
            <w:tcW w:type="dxa" w:w="2880"/>
          </w:tcPr>
          <w:p>
            <w:r>
              <w:t>Quantinuum Helios商用发布</w:t>
            </w:r>
          </w:p>
        </w:tc>
        <w:tc>
          <w:tcPr>
            <w:tcW w:type="dxa" w:w="2880"/>
          </w:tcPr>
          <w:p>
            <w:r>
              <w:t>全球最高性能商用量子计算机</w:t>
            </w:r>
          </w:p>
        </w:tc>
      </w:tr>
      <w:tr>
        <w:tc>
          <w:tcPr>
            <w:tcW w:type="dxa" w:w="2880"/>
          </w:tcPr>
          <w:p>
            <w:r>
              <w:t>2026.01</w:t>
            </w:r>
          </w:p>
        </w:tc>
        <w:tc>
          <w:tcPr>
            <w:tcW w:type="dxa" w:w="2880"/>
          </w:tcPr>
          <w:p>
            <w:r>
              <w:t>美国BIS新增37家中国实体清单</w:t>
            </w:r>
          </w:p>
        </w:tc>
        <w:tc>
          <w:tcPr>
            <w:tcW w:type="dxa" w:w="2880"/>
          </w:tcPr>
          <w:p>
            <w:r>
              <w:t>量子技术成为关键打击目标</w:t>
            </w:r>
          </w:p>
        </w:tc>
      </w:tr>
      <w:tr>
        <w:tc>
          <w:tcPr>
            <w:tcW w:type="dxa" w:w="2880"/>
          </w:tcPr>
          <w:p>
            <w:r>
              <w:t>2025.07</w:t>
            </w:r>
          </w:p>
        </w:tc>
        <w:tc>
          <w:tcPr>
            <w:tcW w:type="dxa" w:w="2880"/>
          </w:tcPr>
          <w:p>
            <w:r>
              <w:t>欧盟发布Quantum Europe Strategy</w:t>
            </w:r>
          </w:p>
        </w:tc>
        <w:tc>
          <w:tcPr>
            <w:tcW w:type="dxa" w:w="2880"/>
          </w:tcPr>
          <w:p>
            <w:r>
              <w:t>计划2030年成为量子工业强国</w:t>
            </w:r>
          </w:p>
        </w:tc>
      </w:tr>
    </w:tbl>
    <w:p>
      <w:pPr>
        <w:pStyle w:val="Heading2"/>
      </w:pPr>
      <w:r>
        <w:t>【P1】重要进展/投资/合作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影响评估</w:t>
            </w:r>
          </w:p>
        </w:tc>
      </w:tr>
      <w:tr>
        <w:tc>
          <w:tcPr>
            <w:tcW w:type="dxa" w:w="2880"/>
          </w:tcPr>
          <w:p>
            <w:r>
              <w:t>2026.02</w:t>
            </w:r>
          </w:p>
        </w:tc>
        <w:tc>
          <w:tcPr>
            <w:tcW w:type="dxa" w:w="2880"/>
          </w:tcPr>
          <w:p>
            <w:r>
              <w:t>中国量子科技融资超25亿元</w:t>
            </w:r>
          </w:p>
        </w:tc>
        <w:tc>
          <w:tcPr>
            <w:tcW w:type="dxa" w:w="2880"/>
          </w:tcPr>
          <w:p>
            <w:r>
              <w:t>25起融资事件</w:t>
            </w:r>
          </w:p>
        </w:tc>
      </w:tr>
      <w:tr>
        <w:tc>
          <w:tcPr>
            <w:tcW w:type="dxa" w:w="2880"/>
          </w:tcPr>
          <w:p>
            <w:r>
              <w:t>2025.12</w:t>
            </w:r>
          </w:p>
        </w:tc>
        <w:tc>
          <w:tcPr>
            <w:tcW w:type="dxa" w:w="2880"/>
          </w:tcPr>
          <w:p>
            <w:r>
              <w:t>本源量子启动IPO辅导</w:t>
            </w:r>
          </w:p>
        </w:tc>
        <w:tc>
          <w:tcPr>
            <w:tcW w:type="dxa" w:w="2880"/>
          </w:tcPr>
          <w:p>
            <w:r>
              <w:t>估值约120亿元</w:t>
            </w:r>
          </w:p>
        </w:tc>
      </w:tr>
      <w:tr>
        <w:tc>
          <w:tcPr>
            <w:tcW w:type="dxa" w:w="2880"/>
          </w:tcPr>
          <w:p>
            <w:r>
              <w:t>2025.11</w:t>
            </w:r>
          </w:p>
        </w:tc>
        <w:tc>
          <w:tcPr>
            <w:tcW w:type="dxa" w:w="2880"/>
          </w:tcPr>
          <w:p>
            <w:r>
              <w:t>中电信量子集团控股国盾量子</w:t>
            </w:r>
          </w:p>
        </w:tc>
        <w:tc>
          <w:tcPr>
            <w:tcW w:type="dxa" w:w="2880"/>
          </w:tcPr>
          <w:p>
            <w:r>
              <w:t>央企整合量子通信龙头</w:t>
            </w:r>
          </w:p>
        </w:tc>
      </w:tr>
      <w:tr>
        <w:tc>
          <w:tcPr>
            <w:tcW w:type="dxa" w:w="2880"/>
          </w:tcPr>
          <w:p>
            <w:r>
              <w:t>2025.09</w:t>
            </w:r>
          </w:p>
        </w:tc>
        <w:tc>
          <w:tcPr>
            <w:tcW w:type="dxa" w:w="2880"/>
          </w:tcPr>
          <w:p>
            <w:r>
              <w:t>PsiQuantum完成10亿美元E轮融资</w:t>
            </w:r>
          </w:p>
        </w:tc>
        <w:tc>
          <w:tcPr>
            <w:tcW w:type="dxa" w:w="2880"/>
          </w:tcPr>
          <w:p>
            <w:r>
              <w:t>估值70亿美元</w:t>
            </w:r>
          </w:p>
        </w:tc>
      </w:tr>
      <w:tr>
        <w:tc>
          <w:tcPr>
            <w:tcW w:type="dxa" w:w="2880"/>
          </w:tcPr>
          <w:p>
            <w:r>
              <w:t>2025.06</w:t>
            </w:r>
          </w:p>
        </w:tc>
        <w:tc>
          <w:tcPr>
            <w:tcW w:type="dxa" w:w="2880"/>
          </w:tcPr>
          <w:p>
            <w:r>
              <w:t>IonQ收购Oxford Ionics</w:t>
            </w:r>
          </w:p>
        </w:tc>
        <w:tc>
          <w:tcPr>
            <w:tcW w:type="dxa" w:w="2880"/>
          </w:tcPr>
          <w:p>
            <w:r>
              <w:t>10.75亿美元</w:t>
            </w:r>
          </w:p>
        </w:tc>
      </w:tr>
    </w:tbl>
    <w:p>
      <w:r>
        <w:br w:type="page"/>
      </w:r>
    </w:p>
    <w:p>
      <w:pPr>
        <w:pStyle w:val="Heading1"/>
      </w:pPr>
      <w:r>
        <w:t>2) 量子计算动态 (空条承太郎)</w:t>
      </w:r>
    </w:p>
    <w:p>
      <w:pPr>
        <w:pStyle w:val="Heading2"/>
      </w:pPr>
      <w:r>
        <w:t>2.1 学术动态</w:t>
      </w:r>
    </w:p>
    <w:p>
      <w:pPr>
        <w:pStyle w:val="Heading3"/>
      </w:pPr>
      <w:r>
        <w:t>Nature/Science/Physical Review 最新论文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发表时间</w:t>
            </w:r>
          </w:p>
        </w:tc>
        <w:tc>
          <w:tcPr>
            <w:tcW w:type="dxa" w:w="2160"/>
          </w:tcPr>
          <w:p>
            <w:r>
              <w:t>论文标题</w:t>
            </w:r>
          </w:p>
        </w:tc>
        <w:tc>
          <w:tcPr>
            <w:tcW w:type="dxa" w:w="2160"/>
          </w:tcPr>
          <w:p>
            <w:r>
              <w:t>作者/机构</w:t>
            </w:r>
          </w:p>
        </w:tc>
        <w:tc>
          <w:tcPr>
            <w:tcW w:type="dxa" w:w="2160"/>
          </w:tcPr>
          <w:p>
            <w:r>
              <w:t>核心突破</w:t>
            </w:r>
          </w:p>
        </w:tc>
      </w:tr>
      <w:tr>
        <w:tc>
          <w:tcPr>
            <w:tcW w:type="dxa" w:w="2160"/>
          </w:tcPr>
          <w:p>
            <w:r>
              <w:t>2026.02</w:t>
            </w:r>
          </w:p>
        </w:tc>
        <w:tc>
          <w:tcPr>
            <w:tcW w:type="dxa" w:w="2160"/>
          </w:tcPr>
          <w:p>
            <w:r>
              <w:t>大规模量子通信网络</w:t>
            </w:r>
          </w:p>
        </w:tc>
        <w:tc>
          <w:tcPr>
            <w:tcW w:type="dxa" w:w="2160"/>
          </w:tcPr>
          <w:p>
            <w:r>
              <w:t>多机构</w:t>
            </w:r>
          </w:p>
        </w:tc>
        <w:tc>
          <w:tcPr>
            <w:tcW w:type="dxa" w:w="2160"/>
          </w:tcPr>
          <w:p>
            <w:r>
              <w:t>网络架构突破</w:t>
            </w:r>
          </w:p>
        </w:tc>
      </w:tr>
      <w:tr>
        <w:tc>
          <w:tcPr>
            <w:tcW w:type="dxa" w:w="2160"/>
          </w:tcPr>
          <w:p>
            <w:r>
              <w:t>2026.02</w:t>
            </w:r>
          </w:p>
        </w:tc>
        <w:tc>
          <w:tcPr>
            <w:tcW w:type="dxa" w:w="2160"/>
          </w:tcPr>
          <w:p>
            <w:r>
              <w:t>全球首个集成光量子芯片QKD网络</w:t>
            </w:r>
          </w:p>
        </w:tc>
        <w:tc>
          <w:tcPr>
            <w:tcW w:type="dxa" w:w="2160"/>
          </w:tcPr>
          <w:p>
            <w:r>
              <w:t>北京大学</w:t>
            </w:r>
          </w:p>
        </w:tc>
        <w:tc>
          <w:tcPr>
            <w:tcW w:type="dxa" w:w="2160"/>
          </w:tcPr>
          <w:p>
            <w:r>
              <w:t>光量子芯片实用化</w:t>
            </w:r>
          </w:p>
        </w:tc>
      </w:tr>
      <w:tr>
        <w:tc>
          <w:tcPr>
            <w:tcW w:type="dxa" w:w="2160"/>
          </w:tcPr>
          <w:p>
            <w:r>
              <w:t>2026.01</w:t>
            </w:r>
          </w:p>
        </w:tc>
        <w:tc>
          <w:tcPr>
            <w:tcW w:type="dxa" w:w="2160"/>
          </w:tcPr>
          <w:p>
            <w:r>
              <w:t>超导量子芯片热化调控</w:t>
            </w:r>
          </w:p>
        </w:tc>
        <w:tc>
          <w:tcPr>
            <w:tcW w:type="dxa" w:w="2160"/>
          </w:tcPr>
          <w:p>
            <w:r>
              <w:t>中科院物理所</w:t>
            </w:r>
          </w:p>
        </w:tc>
        <w:tc>
          <w:tcPr>
            <w:tcW w:type="dxa" w:w="2160"/>
          </w:tcPr>
          <w:p>
            <w:r>
              <w:t>实用化奠基</w:t>
            </w:r>
          </w:p>
        </w:tc>
      </w:tr>
      <w:tr>
        <w:tc>
          <w:tcPr>
            <w:tcW w:type="dxa" w:w="2160"/>
          </w:tcPr>
          <w:p>
            <w:r>
              <w:t>2025.11</w:t>
            </w:r>
          </w:p>
        </w:tc>
        <w:tc>
          <w:tcPr>
            <w:tcW w:type="dxa" w:w="2160"/>
          </w:tcPr>
          <w:p>
            <w:r>
              <w:t>Millisecond lifetimes in 2D transmon</w:t>
            </w:r>
          </w:p>
        </w:tc>
        <w:tc>
          <w:tcPr>
            <w:tcW w:type="dxa" w:w="2160"/>
          </w:tcPr>
          <w:p>
            <w:r>
              <w:t>普林斯顿</w:t>
            </w:r>
          </w:p>
        </w:tc>
        <w:tc>
          <w:tcPr>
            <w:tcW w:type="dxa" w:w="2160"/>
          </w:tcPr>
          <w:p>
            <w:r>
              <w:t>相干时间突破1毫秒</w:t>
            </w:r>
          </w:p>
        </w:tc>
      </w:tr>
      <w:tr>
        <w:tc>
          <w:tcPr>
            <w:tcW w:type="dxa" w:w="2160"/>
          </w:tcPr>
          <w:p>
            <w:r>
              <w:t>2025.10</w:t>
            </w:r>
          </w:p>
        </w:tc>
        <w:tc>
          <w:tcPr>
            <w:tcW w:type="dxa" w:w="2160"/>
          </w:tcPr>
          <w:p>
            <w:r>
              <w:t>Quantum Echoes算法</w:t>
            </w:r>
          </w:p>
        </w:tc>
        <w:tc>
          <w:tcPr>
            <w:tcW w:type="dxa" w:w="2160"/>
          </w:tcPr>
          <w:p>
            <w:r>
              <w:t>Google</w:t>
            </w:r>
          </w:p>
        </w:tc>
        <w:tc>
          <w:tcPr>
            <w:tcW w:type="dxa" w:w="2160"/>
          </w:tcPr>
          <w:p>
            <w:r>
              <w:t>可验证量子优势</w:t>
            </w:r>
          </w:p>
        </w:tc>
      </w:tr>
    </w:tbl>
    <w:p>
      <w:pPr>
        <w:pStyle w:val="Heading2"/>
      </w:pPr>
      <w:r>
        <w:t>2.2 企业动态</w:t>
      </w:r>
    </w:p>
    <w:p>
      <w:pPr>
        <w:pStyle w:val="Heading3"/>
      </w:pPr>
      <w:r>
        <w:t>IBM量子计算路线图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时间节点</w:t>
            </w:r>
          </w:p>
        </w:tc>
        <w:tc>
          <w:tcPr>
            <w:tcW w:type="dxa" w:w="2880"/>
          </w:tcPr>
          <w:p>
            <w:r>
              <w:t>产品/里程碑</w:t>
            </w:r>
          </w:p>
        </w:tc>
        <w:tc>
          <w:tcPr>
            <w:tcW w:type="dxa" w:w="2880"/>
          </w:tcPr>
          <w:p>
            <w:r>
              <w:t>技术指标</w:t>
            </w:r>
          </w:p>
        </w:tc>
      </w:tr>
      <w:tr>
        <w:tc>
          <w:tcPr>
            <w:tcW w:type="dxa" w:w="2880"/>
          </w:tcPr>
          <w:p>
            <w:r>
              <w:t>2025.11</w:t>
            </w:r>
          </w:p>
        </w:tc>
        <w:tc>
          <w:tcPr>
            <w:tcW w:type="dxa" w:w="2880"/>
          </w:tcPr>
          <w:p>
            <w:r>
              <w:t>Nighthawk处理器</w:t>
            </w:r>
          </w:p>
        </w:tc>
        <w:tc>
          <w:tcPr>
            <w:tcW w:type="dxa" w:w="2880"/>
          </w:tcPr>
          <w:p>
            <w:r>
              <w:t>120量子比特，5,000门操作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Kookaburra处理器</w:t>
            </w:r>
          </w:p>
        </w:tc>
        <w:tc>
          <w:tcPr>
            <w:tcW w:type="dxa" w:w="2880"/>
          </w:tcPr>
          <w:p>
            <w:r>
              <w:t>1,386量子比特，多芯片架构</w:t>
            </w:r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Cockatoo处理器</w:t>
            </w:r>
          </w:p>
        </w:tc>
        <w:tc>
          <w:tcPr>
            <w:tcW w:type="dxa" w:w="2880"/>
          </w:tcPr>
          <w:p>
            <w:r>
              <w:t>10,000门操作，9芯片互联</w:t>
            </w:r>
          </w:p>
        </w:tc>
      </w:tr>
      <w:tr>
        <w:tc>
          <w:tcPr>
            <w:tcW w:type="dxa" w:w="2880"/>
          </w:tcPr>
          <w:p>
            <w:r>
              <w:t>2029</w:t>
            </w:r>
          </w:p>
        </w:tc>
        <w:tc>
          <w:tcPr>
            <w:tcW w:type="dxa" w:w="2880"/>
          </w:tcPr>
          <w:p>
            <w:r>
              <w:t>Starling系统</w:t>
            </w:r>
          </w:p>
        </w:tc>
        <w:tc>
          <w:tcPr>
            <w:tcW w:type="dxa" w:w="2880"/>
          </w:tcPr>
          <w:p>
            <w:r>
              <w:t>200逻辑量子比特，容错计算</w:t>
            </w:r>
          </w:p>
        </w:tc>
      </w:tr>
      <w:tr>
        <w:tc>
          <w:tcPr>
            <w:tcW w:type="dxa" w:w="2880"/>
          </w:tcPr>
          <w:p>
            <w:r>
              <w:t>2033</w:t>
            </w:r>
          </w:p>
        </w:tc>
        <w:tc>
          <w:tcPr>
            <w:tcW w:type="dxa" w:w="2880"/>
          </w:tcPr>
          <w:p>
            <w:r>
              <w:t>Blue Jay芯片</w:t>
            </w:r>
          </w:p>
        </w:tc>
        <w:tc>
          <w:tcPr>
            <w:tcW w:type="dxa" w:w="2880"/>
          </w:tcPr>
          <w:p>
            <w:r>
              <w:t>2,000逻辑量子比特</w:t>
            </w:r>
          </w:p>
        </w:tc>
      </w:tr>
    </w:tbl>
    <w:p>
      <w:pPr>
        <w:pStyle w:val="Heading3"/>
      </w:pPr>
      <w:r>
        <w:t>中国量子计算企业进展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企业</w:t>
            </w:r>
          </w:p>
        </w:tc>
        <w:tc>
          <w:tcPr>
            <w:tcW w:type="dxa" w:w="2160"/>
          </w:tcPr>
          <w:p>
            <w:r>
              <w:t>技术路线</w:t>
            </w:r>
          </w:p>
        </w:tc>
        <w:tc>
          <w:tcPr>
            <w:tcW w:type="dxa" w:w="2160"/>
          </w:tcPr>
          <w:p>
            <w:r>
              <w:t>最新进展</w:t>
            </w:r>
          </w:p>
        </w:tc>
        <w:tc>
          <w:tcPr>
            <w:tcW w:type="dxa" w:w="2160"/>
          </w:tcPr>
          <w:p>
            <w:r>
              <w:t>融资/估值</w:t>
            </w:r>
          </w:p>
        </w:tc>
      </w:tr>
      <w:tr>
        <w:tc>
          <w:tcPr>
            <w:tcW w:type="dxa" w:w="2160"/>
          </w:tcPr>
          <w:p>
            <w:r>
              <w:t>本源量子</w:t>
            </w:r>
          </w:p>
        </w:tc>
        <w:tc>
          <w:tcPr>
            <w:tcW w:type="dxa" w:w="2160"/>
          </w:tcPr>
          <w:p>
            <w:r>
              <w:t>超导</w:t>
            </w:r>
          </w:p>
        </w:tc>
        <w:tc>
          <w:tcPr>
            <w:tcW w:type="dxa" w:w="2160"/>
          </w:tcPr>
          <w:p>
            <w:r>
              <w:t>本源悟空72比特，IPO辅导中</w:t>
            </w:r>
          </w:p>
        </w:tc>
        <w:tc>
          <w:tcPr>
            <w:tcW w:type="dxa" w:w="2160"/>
          </w:tcPr>
          <w:p>
            <w:r>
              <w:t>估值120亿元</w:t>
            </w:r>
          </w:p>
        </w:tc>
      </w:tr>
      <w:tr>
        <w:tc>
          <w:tcPr>
            <w:tcW w:type="dxa" w:w="2160"/>
          </w:tcPr>
          <w:p>
            <w:r>
              <w:t>国盾量子</w:t>
            </w:r>
          </w:p>
        </w:tc>
        <w:tc>
          <w:tcPr>
            <w:tcW w:type="dxa" w:w="2160"/>
          </w:tcPr>
          <w:p>
            <w:r>
              <w:t>超导/通信</w:t>
            </w:r>
          </w:p>
        </w:tc>
        <w:tc>
          <w:tcPr>
            <w:tcW w:type="dxa" w:w="2160"/>
          </w:tcPr>
          <w:p>
            <w:r>
              <w:t>祖冲之三号105比特</w:t>
            </w:r>
          </w:p>
        </w:tc>
        <w:tc>
          <w:tcPr>
            <w:tcW w:type="dxa" w:w="2160"/>
          </w:tcPr>
          <w:p>
            <w:r>
              <w:t>市值700亿+</w:t>
            </w:r>
          </w:p>
        </w:tc>
      </w:tr>
      <w:tr>
        <w:tc>
          <w:tcPr>
            <w:tcW w:type="dxa" w:w="2160"/>
          </w:tcPr>
          <w:p>
            <w:r>
              <w:t>图灵量子</w:t>
            </w:r>
          </w:p>
        </w:tc>
        <w:tc>
          <w:tcPr>
            <w:tcW w:type="dxa" w:w="2160"/>
          </w:tcPr>
          <w:p>
            <w:r>
              <w:t>光量子</w:t>
            </w:r>
          </w:p>
        </w:tc>
        <w:tc>
          <w:tcPr>
            <w:tcW w:type="dxa" w:w="2160"/>
          </w:tcPr>
          <w:p>
            <w:r>
              <w:t>半年完成两轮数亿元融资</w:t>
            </w:r>
          </w:p>
        </w:tc>
        <w:tc>
          <w:tcPr>
            <w:tcW w:type="dxa" w:w="2160"/>
          </w:tcPr>
          <w:p>
            <w:r>
              <w:t>估值70亿元</w:t>
            </w:r>
          </w:p>
        </w:tc>
      </w:tr>
      <w:tr>
        <w:tc>
          <w:tcPr>
            <w:tcW w:type="dxa" w:w="2160"/>
          </w:tcPr>
          <w:p>
            <w:r>
              <w:t>量旋科技</w:t>
            </w:r>
          </w:p>
        </w:tc>
        <w:tc>
          <w:tcPr>
            <w:tcW w:type="dxa" w:w="2160"/>
          </w:tcPr>
          <w:p>
            <w:r>
              <w:t>超导</w:t>
            </w:r>
          </w:p>
        </w:tc>
        <w:tc>
          <w:tcPr>
            <w:tcW w:type="dxa" w:w="2160"/>
          </w:tcPr>
          <w:p>
            <w:r>
              <w:t>全球首台桌面量子计算机</w:t>
            </w:r>
          </w:p>
        </w:tc>
        <w:tc>
          <w:tcPr>
            <w:tcW w:type="dxa" w:w="2160"/>
          </w:tcPr>
          <w:p>
            <w:r>
              <w:t>数亿元C轮</w:t>
            </w:r>
          </w:p>
        </w:tc>
      </w:tr>
      <w:tr>
        <w:tc>
          <w:tcPr>
            <w:tcW w:type="dxa" w:w="2160"/>
          </w:tcPr>
          <w:p>
            <w:r>
              <w:t>相干科技</w:t>
            </w:r>
          </w:p>
        </w:tc>
        <w:tc>
          <w:tcPr>
            <w:tcW w:type="dxa" w:w="2160"/>
          </w:tcPr>
          <w:p>
            <w:r>
              <w:t>超导</w:t>
            </w:r>
          </w:p>
        </w:tc>
        <w:tc>
          <w:tcPr>
            <w:tcW w:type="dxa" w:w="2160"/>
          </w:tcPr>
          <w:p>
            <w:r>
              <w:t>超导量子计算解决方案</w:t>
            </w:r>
          </w:p>
        </w:tc>
        <w:tc>
          <w:tcPr>
            <w:tcW w:type="dxa" w:w="2160"/>
          </w:tcPr>
          <w:p>
            <w:r>
              <w:t>超亿元Pre-A</w:t>
            </w:r>
          </w:p>
        </w:tc>
      </w:tr>
    </w:tbl>
    <w:p>
      <w:pPr>
        <w:pStyle w:val="Heading2"/>
      </w:pPr>
      <w:r>
        <w:t>2.3 涉华评估：中美竞争态势</w:t>
      </w:r>
    </w:p>
    <w:p>
      <w:r>
        <w:t>中国在量子计算领域快速追赶，本源量子、国盾量子等企业技术实力不断提升。</w:t>
      </w:r>
    </w:p>
    <w:p>
      <w:r>
        <w:t>关键差距：上游供应链受限、软件生态待完善、商业化程度较低。</w:t>
      </w:r>
    </w:p>
    <w:p>
      <w:r>
        <w:br w:type="page"/>
      </w:r>
    </w:p>
    <w:p>
      <w:pPr>
        <w:pStyle w:val="Heading1"/>
      </w:pPr>
      <w:r>
        <w:t>3) 量子测量动态 (乔鲁诺·乔巴拿)</w:t>
      </w:r>
    </w:p>
    <w:p>
      <w:pPr>
        <w:pStyle w:val="Heading2"/>
      </w:pPr>
      <w:r>
        <w:t>3.1 学术动态</w:t>
      </w:r>
    </w:p>
    <w:p>
      <w:r>
        <w:t>• Rydberg原子传感器：无需金属天线，宽频RF测量</w:t>
      </w:r>
    </w:p>
    <w:p>
      <w:r>
        <w:t>• 量子重力梯度仪：NASA JPL 2030年轨道测试</w:t>
      </w:r>
    </w:p>
    <w:p>
      <w:r>
        <w:t>• 量子磁力计脑磁图：医疗诊断应用突破</w:t>
      </w:r>
    </w:p>
    <w:p>
      <w:pPr>
        <w:pStyle w:val="Heading2"/>
      </w:pPr>
      <w:r>
        <w:t>3.2 企业动态</w:t>
      </w:r>
    </w:p>
    <w:p>
      <w:r>
        <w:t>原子钟领域：Infleqtion、Vector Atomic、天奥电子</w:t>
      </w:r>
    </w:p>
    <w:p>
      <w:r>
        <w:t>量子雷达：TRL-3阶段，隐身目标探测应用</w:t>
      </w:r>
    </w:p>
    <w:p>
      <w:r>
        <w:t>量子磁力计：Quantum Brilliance室温操作设备</w:t>
      </w:r>
    </w:p>
    <w:p>
      <w:pPr>
        <w:pStyle w:val="Heading2"/>
      </w:pPr>
      <w:r>
        <w:t>3.3 涉华评估</w:t>
      </w:r>
    </w:p>
    <w:p>
      <w:r>
        <w:t>中国在量子雷达、精密测量领域快速追赶，国仪量子、中科酷原等企业崭露头角。</w:t>
      </w:r>
    </w:p>
    <w:p>
      <w:r>
        <w:br w:type="page"/>
      </w:r>
    </w:p>
    <w:p>
      <w:pPr>
        <w:pStyle w:val="Heading1"/>
      </w:pPr>
      <w:r>
        <w:t>4) 量子通信动态 (广濑康一)</w:t>
      </w:r>
    </w:p>
    <w:p>
      <w:pPr>
        <w:pStyle w:val="Heading2"/>
      </w:pPr>
      <w:r>
        <w:t>4.1 学术动态</w:t>
      </w:r>
    </w:p>
    <w:p>
      <w:r>
        <w:t>• 2026.02 大规模量子密钥分发网络 (Nature)</w:t>
      </w:r>
    </w:p>
    <w:p>
      <w:r>
        <w:t>• 2025.12 量子增强NTN安全框架 (Photonics)</w:t>
      </w:r>
    </w:p>
    <w:p>
      <w:r>
        <w:t>• 2025.11 微纳卫星实时QKD (Nature)</w:t>
      </w:r>
    </w:p>
    <w:p>
      <w:r>
        <w:t>• 2025.03 北京-南非量子通信 (中国科大)</w:t>
      </w:r>
    </w:p>
    <w:p>
      <w:pPr>
        <w:pStyle w:val="Heading2"/>
      </w:pPr>
      <w:r>
        <w:t>4.2 企业动态</w:t>
      </w:r>
    </w:p>
    <w:p>
      <w:pPr>
        <w:pStyle w:val="Heading3"/>
      </w:pPr>
      <w:r>
        <w:t>国盾量子 (688027.SH)</w:t>
      </w:r>
    </w:p>
    <w:p>
      <w:r>
        <w:t>• 国内量子通信设备市占率 &gt;90%</w:t>
      </w:r>
    </w:p>
    <w:p>
      <w:r>
        <w:t>• 全球QKD设备市占率第一</w:t>
      </w:r>
    </w:p>
    <w:p>
      <w:r>
        <w:t>• 2025年前三季度营收1.90亿元(同比+90.27%)</w:t>
      </w:r>
    </w:p>
    <w:p>
      <w:r>
        <w:t>• 量子计算业务收入增长+283.92%</w:t>
      </w:r>
    </w:p>
    <w:p>
      <w:pPr>
        <w:pStyle w:val="Heading2"/>
      </w:pPr>
      <w:r>
        <w:t>4.3 涉华评估</w:t>
      </w:r>
    </w:p>
    <w:p>
      <w:r>
        <w:t>中国在量子通信领域全球领先，墨子号卫星、京沪干线等标志性项目奠定优势地位。</w:t>
      </w:r>
    </w:p>
    <w:p>
      <w:r>
        <w:br w:type="page"/>
      </w:r>
    </w:p>
    <w:p>
      <w:pPr>
        <w:pStyle w:val="Heading1"/>
      </w:pPr>
      <w:r>
        <w:t>5) 政策动态</w:t>
      </w:r>
    </w:p>
    <w:p>
      <w:pPr>
        <w:pStyle w:val="Heading2"/>
      </w:pPr>
      <w:r>
        <w:t>5.1 美国</w:t>
      </w:r>
    </w:p>
    <w:p>
      <w:r>
        <w:t>出口管制：2026年1月新增37家中国实体，量子技术成为关键打击目标。</w:t>
      </w:r>
    </w:p>
    <w:p>
      <w:r>
        <w:t>NIST PQC标准：FIPS 203/204/205已发布，2035年全面淘汰传统加密。</w:t>
      </w:r>
    </w:p>
    <w:p>
      <w:pPr>
        <w:pStyle w:val="Heading2"/>
      </w:pPr>
      <w:r>
        <w:t>5.2 欧盟</w:t>
      </w:r>
    </w:p>
    <w:p>
      <w:r>
        <w:t>Quantum Europe Strategy (2025.07)：五大支柱战略，目标2030年成为量子工业强国。</w:t>
      </w:r>
    </w:p>
    <w:p>
      <w:r>
        <w:t>EuroQCI：Eagle-1卫星即将发射，建设覆盖全欧的量子通信网络。</w:t>
      </w:r>
    </w:p>
    <w:p>
      <w:pPr>
        <w:pStyle w:val="Heading2"/>
      </w:pPr>
      <w:r>
        <w:t>5.3 中国</w:t>
      </w:r>
    </w:p>
    <w:p>
      <w:r>
        <w:t>十五五规划：量子科技位列未来产业布局首位，150亿美元公共投入全球第一。</w:t>
      </w:r>
    </w:p>
    <w:p>
      <w:r>
        <w:t>国家实验室：量子信息科学国家实验室(合肥)、北京量子信息科学研究院等。</w:t>
      </w:r>
    </w:p>
    <w:p>
      <w:r>
        <w:br w:type="page"/>
      </w:r>
    </w:p>
    <w:p>
      <w:pPr>
        <w:pStyle w:val="Heading1"/>
      </w:pPr>
      <w:r>
        <w:t>6) 竞争态势分析</w:t>
      </w:r>
    </w:p>
    <w:p>
      <w:pPr>
        <w:pStyle w:val="Heading2"/>
      </w:pPr>
      <w:r>
        <w:t>6.1 中美欧量子竞争力对比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美国</w:t>
            </w:r>
          </w:p>
        </w:tc>
        <w:tc>
          <w:tcPr>
            <w:tcW w:type="dxa" w:w="2160"/>
          </w:tcPr>
          <w:p>
            <w:r>
              <w:t>中国</w:t>
            </w:r>
          </w:p>
        </w:tc>
        <w:tc>
          <w:tcPr>
            <w:tcW w:type="dxa" w:w="2160"/>
          </w:tcPr>
          <w:p>
            <w:r>
              <w:t>欧盟</w:t>
            </w:r>
          </w:p>
        </w:tc>
      </w:tr>
      <w:tr>
        <w:tc>
          <w:tcPr>
            <w:tcW w:type="dxa" w:w="2160"/>
          </w:tcPr>
          <w:p>
            <w:r>
              <w:t>公共投入(累计)</w:t>
            </w:r>
          </w:p>
        </w:tc>
        <w:tc>
          <w:tcPr>
            <w:tcW w:type="dxa" w:w="2160"/>
          </w:tcPr>
          <w:p>
            <w:r>
              <w:t>60亿美元</w:t>
            </w:r>
          </w:p>
        </w:tc>
        <w:tc>
          <w:tcPr>
            <w:tcW w:type="dxa" w:w="2160"/>
          </w:tcPr>
          <w:p>
            <w:r>
              <w:t>150亿美元</w:t>
            </w:r>
          </w:p>
        </w:tc>
        <w:tc>
          <w:tcPr>
            <w:tcW w:type="dxa" w:w="2160"/>
          </w:tcPr>
          <w:p>
            <w:r>
              <w:t>110亿欧元</w:t>
            </w:r>
          </w:p>
        </w:tc>
      </w:tr>
      <w:tr>
        <w:tc>
          <w:tcPr>
            <w:tcW w:type="dxa" w:w="2160"/>
          </w:tcPr>
          <w:p>
            <w:r>
              <w:t>风险投资占比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专利数量排名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独角兽企业</w:t>
            </w:r>
          </w:p>
        </w:tc>
        <w:tc>
          <w:tcPr>
            <w:tcW w:type="dxa" w:w="2160"/>
          </w:tcPr>
          <w:p>
            <w:r>
              <w:t>IonQ/PsiQuantum/Quantinuum</w:t>
            </w:r>
          </w:p>
        </w:tc>
        <w:tc>
          <w:tcPr>
            <w:tcW w:type="dxa" w:w="2160"/>
          </w:tcPr>
          <w:p>
            <w:r>
              <w:t>本源量子/国仪量子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7) 今日关注</w:t>
      </w:r>
    </w:p>
    <w:p>
      <w:r>
        <w:t>• 欧盟Quantum Act立法进程更新</w:t>
      </w:r>
    </w:p>
    <w:p>
      <w:r>
        <w:t>• 美国BIS实体清单新增量子企业动态</w:t>
      </w:r>
    </w:p>
    <w:p>
      <w:r>
        <w:t>• 本源量子IPO辅导进展</w:t>
      </w:r>
    </w:p>
    <w:p>
      <w:r>
        <w:t>• 欧盟Eagle-1量子卫星发射(2026.Q1)</w:t>
      </w:r>
    </w:p>
    <w:p>
      <w:r>
        <w:br w:type="page"/>
      </w:r>
    </w:p>
    <w:p>
      <w:pPr>
        <w:pStyle w:val="Heading1"/>
      </w:pPr>
      <w:r>
        <w:t>8) 走势研判</w:t>
      </w:r>
    </w:p>
    <w:p>
      <w:pPr>
        <w:pStyle w:val="Heading2"/>
      </w:pPr>
      <w:r>
        <w:t>8.1 短期（1-4周）</w:t>
      </w:r>
    </w:p>
    <w:p>
      <w:r>
        <w:t>技术趋势：IBM Nighthawk用户反馈发布，性能验证成为焦点。</w:t>
      </w:r>
    </w:p>
    <w:p>
      <w:r>
        <w:t>政策风险：美国可能进一步收紧对华量子技术出口管制。</w:t>
      </w:r>
    </w:p>
    <w:p>
      <w:r>
        <w:t>资本市场：量子科技概念股可能继续波动。</w:t>
      </w:r>
    </w:p>
    <w:p>
      <w:pPr>
        <w:pStyle w:val="Heading2"/>
      </w:pPr>
      <w:r>
        <w:t>8.2 中期（1-6个月）</w:t>
      </w:r>
    </w:p>
    <w:p>
      <w:r>
        <w:t>技术突破：2026年3月美国物理学会会议可能发布重要成果。</w:t>
      </w:r>
    </w:p>
    <w:p>
      <w:r>
        <w:t>产业格局：中电信量子集团整合国盾量子效应逐步显现。</w:t>
      </w:r>
    </w:p>
    <w:p>
      <w:r>
        <w:t>政策走向：美国可能发布更多出口管制措施，欧盟Quantum Act正式推出。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