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美国对华政策监控日报"/>
    <w:p>
      <w:pPr>
        <w:pStyle w:val="Heading1"/>
      </w:pPr>
      <w:r>
        <w:t xml:space="preserve">美国对华政策监控日报</w:t>
      </w:r>
    </w:p>
    <w:p>
      <w:pPr>
        <w:pStyle w:val="FirstParagraph"/>
      </w:pPr>
      <w:r>
        <w:rPr>
          <w:bCs/>
          <w:b/>
        </w:rPr>
        <w:t xml:space="preserve">报告日期</w:t>
      </w:r>
      <w:r>
        <w:t xml:space="preserve">: 2026年2月25日 07:00 (Asia/Shanghai)</w:t>
      </w:r>
      <w:r>
        <w:br/>
      </w:r>
      <w:r>
        <w:rPr>
          <w:bCs/>
          <w:b/>
        </w:rPr>
        <w:t xml:space="preserve">报告时段</w:t>
      </w:r>
      <w:r>
        <w:t xml:space="preserve">: 2026年2月24日 07:00 - 2026年2月25日 07:00 (过去24小时)</w:t>
      </w:r>
      <w:r>
        <w:br/>
      </w:r>
      <w:r>
        <w:rPr>
          <w:bCs/>
          <w:b/>
        </w:rPr>
        <w:t xml:space="preserve">编制</w:t>
      </w:r>
      <w:r>
        <w:t xml:space="preserve">: US-China Policy Department（波风水门、宇智波鼬）</w:t>
      </w:r>
      <w:r>
        <w:br/>
      </w:r>
      <w:r>
        <w:rPr>
          <w:bCs/>
          <w:b/>
        </w:rPr>
        <w:t xml:space="preserve">优化功能</w:t>
      </w:r>
      <w:r>
        <w:t xml:space="preserve">: ✅ 实时告警机制 | ✅ 趋势分析 | ✅ 数据源健康监控</w:t>
      </w:r>
    </w:p>
    <w:p>
      <w:r>
        <w:pict>
          <v:rect style="width:0;height:1.5pt" o:hralign="center" o:hrstd="t" o:hr="t"/>
        </w:pict>
      </w:r>
    </w:p>
    <w:bookmarkStart w:id="23" w:name="实时告警"/>
    <w:p>
      <w:pPr>
        <w:pStyle w:val="Heading2"/>
      </w:pPr>
      <w:r>
        <w:t xml:space="preserve">1) 🚨 实时告警</w:t>
      </w:r>
    </w:p>
    <w:bookmarkStart w:id="20" w:name="p0最高优先级---重大政策变化"/>
    <w:p>
      <w:pPr>
        <w:pStyle w:val="Heading3"/>
      </w:pPr>
      <w:r>
        <w:t xml:space="preserve">【P0】最高优先级 - 重大政策变化</w:t>
      </w:r>
    </w:p>
    <w:tbl>
      <w:tblPr>
        <w:tblStyle w:val="Table"/>
        <w:tblW w:type="pct" w:w="5000"/>
        <w:tblLook w:firstRow="1" w:lastRow="0" w:firstColumn="0" w:lastColumn="0" w:noHBand="0" w:noVBand="0" w:val="0020"/>
        <w:jc w:val="start"/>
      </w:tblPr>
      <w:tblGrid>
        <w:gridCol w:w="2160"/>
        <w:gridCol w:w="2160"/>
        <w:gridCol w:w="3600"/>
      </w:tblGrid>
      <w:tr>
        <w:trPr>
          <w:tblHeader w:val="true"/>
        </w:trPr>
        <w:tc>
          <w:tcPr/>
          <w:p>
            <w:pPr>
              <w:pStyle w:val="Compact"/>
              <w:jc w:val="left"/>
            </w:pPr>
            <w:r>
              <w:t xml:space="preserve">时间</w:t>
            </w:r>
          </w:p>
        </w:tc>
        <w:tc>
          <w:tcPr/>
          <w:p>
            <w:pPr>
              <w:pStyle w:val="Compact"/>
              <w:jc w:val="left"/>
            </w:pPr>
            <w:r>
              <w:t xml:space="preserve">事件</w:t>
            </w:r>
          </w:p>
        </w:tc>
        <w:tc>
          <w:tcPr/>
          <w:p>
            <w:pPr>
              <w:pStyle w:val="Compact"/>
              <w:jc w:val="left"/>
            </w:pPr>
            <w:r>
              <w:t xml:space="preserve">影响评估</w:t>
            </w:r>
          </w:p>
        </w:tc>
      </w:tr>
      <w:tr>
        <w:tc>
          <w:tcPr/>
          <w:p>
            <w:pPr>
              <w:pStyle w:val="Compact"/>
              <w:jc w:val="left"/>
            </w:pPr>
            <w:r>
              <w:t xml:space="preserve">2026-02-20</w:t>
            </w:r>
          </w:p>
        </w:tc>
        <w:tc>
          <w:tcPr/>
          <w:p>
            <w:pPr>
              <w:pStyle w:val="Compact"/>
              <w:jc w:val="left"/>
            </w:pPr>
            <w:r>
              <w:rPr>
                <w:bCs/>
                <w:b/>
              </w:rPr>
              <w:t xml:space="preserve">美国最高法院裁定IEEPA关税非法</w:t>
            </w:r>
          </w:p>
        </w:tc>
        <w:tc>
          <w:tcPr/>
          <w:p>
            <w:pPr>
              <w:pStyle w:val="Compact"/>
              <w:jc w:val="left"/>
            </w:pPr>
            <w:r>
              <w:t xml:space="preserve">特朗普政府IEEPA关税被推翻，但立即启动替代方案（Section 122全球关税从10%提升至15%）</w:t>
            </w:r>
          </w:p>
        </w:tc>
      </w:tr>
      <w:tr>
        <w:tc>
          <w:tcPr/>
          <w:p>
            <w:pPr>
              <w:pStyle w:val="Compact"/>
              <w:jc w:val="left"/>
            </w:pPr>
            <w:r>
              <w:t xml:space="preserve">2026-01-15</w:t>
            </w:r>
          </w:p>
        </w:tc>
        <w:tc>
          <w:tcPr/>
          <w:p>
            <w:pPr>
              <w:pStyle w:val="Compact"/>
              <w:jc w:val="left"/>
            </w:pPr>
            <w:r>
              <w:rPr>
                <w:bCs/>
                <w:b/>
              </w:rPr>
              <w:t xml:space="preserve">BIS修订AI芯片出口政策</w:t>
            </w:r>
          </w:p>
        </w:tc>
        <w:tc>
          <w:tcPr/>
          <w:p>
            <w:pPr>
              <w:pStyle w:val="Compact"/>
              <w:jc w:val="left"/>
            </w:pPr>
            <w:r>
              <w:t xml:space="preserve">NVIDIA H200/AMD MI325X对华出口从”拒绝推定”改为”逐案审查”，但需满足严格条件</w:t>
            </w:r>
          </w:p>
        </w:tc>
      </w:tr>
    </w:tbl>
    <w:bookmarkEnd w:id="20"/>
    <w:bookmarkStart w:id="21" w:name="p1高优先级---重要动态"/>
    <w:p>
      <w:pPr>
        <w:pStyle w:val="Heading3"/>
      </w:pPr>
      <w:r>
        <w:t xml:space="preserve">【P1】高优先级 - 重要动态</w:t>
      </w:r>
    </w:p>
    <w:tbl>
      <w:tblPr>
        <w:tblStyle w:val="Table"/>
        <w:tblW w:type="pct" w:w="5000"/>
        <w:tblLook w:firstRow="1" w:lastRow="0" w:firstColumn="0" w:lastColumn="0" w:noHBand="0" w:noVBand="0" w:val="0020"/>
        <w:jc w:val="start"/>
      </w:tblPr>
      <w:tblGrid>
        <w:gridCol w:w="2160"/>
        <w:gridCol w:w="2160"/>
        <w:gridCol w:w="3600"/>
      </w:tblGrid>
      <w:tr>
        <w:trPr>
          <w:tblHeader w:val="true"/>
        </w:trPr>
        <w:tc>
          <w:tcPr/>
          <w:p>
            <w:pPr>
              <w:pStyle w:val="Compact"/>
              <w:jc w:val="left"/>
            </w:pPr>
            <w:r>
              <w:t xml:space="preserve">时间</w:t>
            </w:r>
          </w:p>
        </w:tc>
        <w:tc>
          <w:tcPr/>
          <w:p>
            <w:pPr>
              <w:pStyle w:val="Compact"/>
              <w:jc w:val="left"/>
            </w:pPr>
            <w:r>
              <w:t xml:space="preserve">事件</w:t>
            </w:r>
          </w:p>
        </w:tc>
        <w:tc>
          <w:tcPr/>
          <w:p>
            <w:pPr>
              <w:pStyle w:val="Compact"/>
              <w:jc w:val="left"/>
            </w:pPr>
            <w:r>
              <w:t xml:space="preserve">影响评估</w:t>
            </w:r>
          </w:p>
        </w:tc>
      </w:tr>
      <w:tr>
        <w:tc>
          <w:tcPr/>
          <w:p>
            <w:pPr>
              <w:pStyle w:val="Compact"/>
              <w:jc w:val="left"/>
            </w:pPr>
            <w:r>
              <w:t xml:space="preserve">2026-02-24</w:t>
            </w:r>
          </w:p>
        </w:tc>
        <w:tc>
          <w:tcPr/>
          <w:p>
            <w:pPr>
              <w:pStyle w:val="Compact"/>
              <w:jc w:val="left"/>
            </w:pPr>
            <w:r>
              <w:rPr>
                <w:bCs/>
                <w:b/>
              </w:rPr>
              <w:t xml:space="preserve">特朗普宣布15%全球关税</w:t>
            </w:r>
          </w:p>
        </w:tc>
        <w:tc>
          <w:tcPr/>
          <w:p>
            <w:pPr>
              <w:pStyle w:val="Compact"/>
              <w:jc w:val="left"/>
            </w:pPr>
            <w:r>
              <w:t xml:space="preserve">最高法院裁决后，特朗普依据Section 122实施150天全球关税（2月24日生效）</w:t>
            </w:r>
          </w:p>
        </w:tc>
      </w:tr>
      <w:tr>
        <w:tc>
          <w:tcPr/>
          <w:p>
            <w:pPr>
              <w:pStyle w:val="Compact"/>
              <w:jc w:val="left"/>
            </w:pPr>
            <w:r>
              <w:t xml:space="preserve">2026-02-13</w:t>
            </w:r>
          </w:p>
        </w:tc>
        <w:tc>
          <w:tcPr/>
          <w:p>
            <w:pPr>
              <w:pStyle w:val="Compact"/>
              <w:jc w:val="left"/>
            </w:pPr>
            <w:r>
              <w:rPr>
                <w:bCs/>
                <w:b/>
              </w:rPr>
              <w:t xml:space="preserve">INDOPACOM司令帕帕罗警告</w:t>
            </w:r>
          </w:p>
        </w:tc>
        <w:tc>
          <w:tcPr/>
          <w:p>
            <w:pPr>
              <w:pStyle w:val="Compact"/>
              <w:jc w:val="left"/>
            </w:pPr>
            <w:r>
              <w:t xml:space="preserve">解放军台海演习是”强制统一的彩排”，非单纯演习</w:t>
            </w:r>
          </w:p>
        </w:tc>
      </w:tr>
      <w:tr>
        <w:tc>
          <w:tcPr/>
          <w:p>
            <w:pPr>
              <w:pStyle w:val="Compact"/>
              <w:jc w:val="left"/>
            </w:pPr>
            <w:r>
              <w:t xml:space="preserve">2026-01-14</w:t>
            </w:r>
          </w:p>
        </w:tc>
        <w:tc>
          <w:tcPr/>
          <w:p>
            <w:pPr>
              <w:pStyle w:val="Compact"/>
              <w:jc w:val="left"/>
            </w:pPr>
            <w:r>
              <w:rPr>
                <w:bCs/>
                <w:b/>
              </w:rPr>
              <w:t xml:space="preserve">AI OVERWATCH法案推进</w:t>
            </w:r>
          </w:p>
        </w:tc>
        <w:tc>
          <w:tcPr/>
          <w:p>
            <w:pPr>
              <w:pStyle w:val="Compact"/>
              <w:jc w:val="left"/>
            </w:pPr>
            <w:r>
              <w:t xml:space="preserve">众议院外委会42-2通过，拟立法禁止Blackwell级芯片对华出口</w:t>
            </w:r>
          </w:p>
        </w:tc>
      </w:tr>
    </w:tbl>
    <w:bookmarkEnd w:id="21"/>
    <w:bookmarkStart w:id="22" w:name="p2中优先级---值得关注"/>
    <w:p>
      <w:pPr>
        <w:pStyle w:val="Heading3"/>
      </w:pPr>
      <w:r>
        <w:t xml:space="preserve">【P2】中优先级 - 值得关注</w:t>
      </w:r>
    </w:p>
    <w:tbl>
      <w:tblPr>
        <w:tblStyle w:val="Table"/>
        <w:tblW w:type="pct" w:w="5000"/>
        <w:tblLook w:firstRow="1" w:lastRow="0" w:firstColumn="0" w:lastColumn="0" w:noHBand="0" w:noVBand="0" w:val="0020"/>
        <w:jc w:val="start"/>
      </w:tblPr>
      <w:tblGrid>
        <w:gridCol w:w="2160"/>
        <w:gridCol w:w="2160"/>
        <w:gridCol w:w="3600"/>
      </w:tblGrid>
      <w:tr>
        <w:trPr>
          <w:tblHeader w:val="true"/>
        </w:trPr>
        <w:tc>
          <w:tcPr/>
          <w:p>
            <w:pPr>
              <w:pStyle w:val="Compact"/>
              <w:jc w:val="left"/>
            </w:pPr>
            <w:r>
              <w:t xml:space="preserve">时间</w:t>
            </w:r>
          </w:p>
        </w:tc>
        <w:tc>
          <w:tcPr/>
          <w:p>
            <w:pPr>
              <w:pStyle w:val="Compact"/>
              <w:jc w:val="left"/>
            </w:pPr>
            <w:r>
              <w:t xml:space="preserve">事件</w:t>
            </w:r>
          </w:p>
        </w:tc>
        <w:tc>
          <w:tcPr/>
          <w:p>
            <w:pPr>
              <w:pStyle w:val="Compact"/>
              <w:jc w:val="left"/>
            </w:pPr>
            <w:r>
              <w:t xml:space="preserve">影响评估</w:t>
            </w:r>
          </w:p>
        </w:tc>
      </w:tr>
      <w:tr>
        <w:tc>
          <w:tcPr/>
          <w:p>
            <w:pPr>
              <w:pStyle w:val="Compact"/>
              <w:jc w:val="left"/>
            </w:pPr>
            <w:r>
              <w:t xml:space="preserve">2026-02-22</w:t>
            </w:r>
          </w:p>
        </w:tc>
        <w:tc>
          <w:tcPr/>
          <w:p>
            <w:pPr>
              <w:pStyle w:val="Compact"/>
              <w:jc w:val="left"/>
            </w:pPr>
            <w:r>
              <w:rPr>
                <w:bCs/>
                <w:b/>
              </w:rPr>
              <w:t xml:space="preserve">中美关税现状</w:t>
            </w:r>
          </w:p>
        </w:tc>
        <w:tc>
          <w:tcPr/>
          <w:p>
            <w:pPr>
              <w:pStyle w:val="Compact"/>
              <w:jc w:val="left"/>
            </w:pPr>
            <w:r>
              <w:t xml:space="preserve">中国商品综合税率约29.7%（Section 301 + Section 232 + 全球关税）</w:t>
            </w:r>
          </w:p>
        </w:tc>
      </w:tr>
      <w:tr>
        <w:tc>
          <w:tcPr/>
          <w:p>
            <w:pPr>
              <w:pStyle w:val="Compact"/>
              <w:jc w:val="left"/>
            </w:pPr>
            <w:r>
              <w:t xml:space="preserve">2026-02-20</w:t>
            </w:r>
          </w:p>
        </w:tc>
        <w:tc>
          <w:tcPr/>
          <w:p>
            <w:pPr>
              <w:pStyle w:val="Compact"/>
              <w:jc w:val="left"/>
            </w:pPr>
            <w:r>
              <w:rPr>
                <w:bCs/>
                <w:b/>
              </w:rPr>
              <w:t xml:space="preserve">De Minimis豁免</w:t>
            </w:r>
          </w:p>
        </w:tc>
        <w:tc>
          <w:tcPr/>
          <w:p>
            <w:pPr>
              <w:pStyle w:val="Compact"/>
              <w:jc w:val="left"/>
            </w:pPr>
            <w:r>
              <w:t xml:space="preserve">中国/香港商品$800以下免税待遇已于2025年5月2日终止</w:t>
            </w:r>
          </w:p>
        </w:tc>
      </w:tr>
    </w:tbl>
    <w:p>
      <w:r>
        <w:pict>
          <v:rect style="width:0;height:1.5pt" o:hralign="center" o:hrstd="t" o:hr="t"/>
        </w:pict>
      </w:r>
    </w:p>
    <w:bookmarkEnd w:id="22"/>
    <w:bookmarkEnd w:id="23"/>
    <w:bookmarkStart w:id="31" w:name="主题要点"/>
    <w:p>
      <w:pPr>
        <w:pStyle w:val="Heading2"/>
      </w:pPr>
      <w:r>
        <w:t xml:space="preserve">2) 主题要点</w:t>
      </w:r>
    </w:p>
    <w:bookmarkStart w:id="24" w:name="贸易关税p0级"/>
    <w:p>
      <w:pPr>
        <w:pStyle w:val="Heading3"/>
      </w:pPr>
      <w:r>
        <w:t xml:space="preserve">贸易关税（P0级）</w:t>
      </w:r>
    </w:p>
    <w:p>
      <w:pPr>
        <w:pStyle w:val="FirstParagraph"/>
      </w:pPr>
      <w:r>
        <w:rPr>
          <w:bCs/>
          <w:b/>
        </w:rPr>
        <w:t xml:space="preserve">现状描述</w:t>
      </w:r>
      <w:r>
        <w:t xml:space="preserve">:</w:t>
      </w:r>
      <w:r>
        <w:br/>
      </w:r>
      <w:r>
        <w:t xml:space="preserve">2026年2月20日，美国最高法院在Learning Resources Inc. v. Trump案中裁定，特朗普政府依据IEEPA（国际紧急经济权力法）实施的关税超越总统权限。这是特朗普贸易政策的核心法律基础被推翻。</w:t>
      </w:r>
    </w:p>
    <w:p>
      <w:pPr>
        <w:pStyle w:val="BodyText"/>
      </w:pPr>
      <w:r>
        <w:rPr>
          <w:bCs/>
          <w:b/>
        </w:rPr>
        <w:t xml:space="preserve">具体关税结构（2026年2月）</w:t>
      </w:r>
      <w:r>
        <w:t xml:space="preserve">:</w:t>
      </w:r>
      <w:r>
        <w:t xml:space="preserve"> </w:t>
      </w:r>
      <w:r>
        <w:t xml:space="preserve">| 关税类型 | 税率 | 覆盖范围 |</w:t>
      </w:r>
      <w:r>
        <w:t xml:space="preserve"> </w:t>
      </w:r>
      <w:r>
        <w:t xml:space="preserve">|———-|——|———-|</w:t>
      </w:r>
      <w:r>
        <w:t xml:space="preserve"> </w:t>
      </w:r>
      <w:r>
        <w:t xml:space="preserve">| Section 301 | 7.5%-100% | 多轮清单覆盖$5500亿中国商品 |</w:t>
      </w:r>
      <w:r>
        <w:t xml:space="preserve"> </w:t>
      </w:r>
      <w:r>
        <w:t xml:space="preserve">| Section 232 | 50% | 钢铁、铝、铜、汽车零部件 |</w:t>
      </w:r>
      <w:r>
        <w:t xml:space="preserve"> </w:t>
      </w:r>
      <w:r>
        <w:t xml:space="preserve">| Section 122全球关税 | 15% | 所有进口商品（150天期限） |</w:t>
      </w:r>
      <w:r>
        <w:t xml:space="preserve"> </w:t>
      </w:r>
      <w:r>
        <w:t xml:space="preserve">| 综合有效税率 | ~29.7% | 中国商品贸易加权平均 |</w:t>
      </w:r>
    </w:p>
    <w:p>
      <w:pPr>
        <w:pStyle w:val="BodyText"/>
      </w:pPr>
      <w:r>
        <w:rPr>
          <w:bCs/>
          <w:b/>
        </w:rPr>
        <w:t xml:space="preserve">趋势分析</w:t>
      </w:r>
      <w:r>
        <w:t xml:space="preserve">: 📈</w:t>
      </w:r>
      <w:r>
        <w:br/>
      </w:r>
      <w:r>
        <w:t xml:space="preserve">- 特朗普政府迅速转向Section 122（1974年贸易法）作为替代法律依据</w:t>
      </w:r>
      <w:r>
        <w:t xml:space="preserve"> </w:t>
      </w:r>
      <w:r>
        <w:t xml:space="preserve">- 15%全球关税有效期150天，需国会批准方可延长</w:t>
      </w:r>
      <w:r>
        <w:t xml:space="preserve"> </w:t>
      </w:r>
      <w:r>
        <w:t xml:space="preserve">- 国会共和党内部出现分歧，部分议员支持限制总统关税权力</w:t>
      </w:r>
    </w:p>
    <w:p>
      <w:r>
        <w:pict>
          <v:rect style="width:0;height:1.5pt" o:hralign="center" o:hrstd="t" o:hr="t"/>
        </w:pict>
      </w:r>
    </w:p>
    <w:bookmarkEnd w:id="24"/>
    <w:bookmarkStart w:id="25" w:name="投资审查p1级"/>
    <w:p>
      <w:pPr>
        <w:pStyle w:val="Heading3"/>
      </w:pPr>
      <w:r>
        <w:t xml:space="preserve">投资审查（P1级）</w:t>
      </w:r>
    </w:p>
    <w:p>
      <w:pPr>
        <w:pStyle w:val="FirstParagraph"/>
      </w:pPr>
      <w:r>
        <w:rPr>
          <w:bCs/>
          <w:b/>
        </w:rPr>
        <w:t xml:space="preserve">现状描述</w:t>
      </w:r>
      <w:r>
        <w:t xml:space="preserve">:</w:t>
      </w:r>
      <w:r>
        <w:br/>
      </w:r>
      <w:r>
        <w:t xml:space="preserve">CFIUS（美国外国投资委员会）持续加强对中国投资的审查。2025年生效的《对外投资安全计划》(OISP)建立了针对半导体、量子信息、AI三大领域的投资筛查机制。</w:t>
      </w:r>
    </w:p>
    <w:p>
      <w:pPr>
        <w:pStyle w:val="BodyText"/>
      </w:pPr>
      <w:r>
        <w:rPr>
          <w:bCs/>
          <w:b/>
        </w:rPr>
        <w:t xml:space="preserve">趋势分析</w:t>
      </w:r>
      <w:r>
        <w:t xml:space="preserve">: ⚠️</w:t>
      </w:r>
      <w:r>
        <w:br/>
      </w:r>
      <w:r>
        <w:t xml:space="preserve">- 2025年12月《综合对外投资国家安全法》(COINS Act)签署，进一步扩大OISP范围</w:t>
      </w:r>
      <w:r>
        <w:t xml:space="preserve"> </w:t>
      </w:r>
      <w:r>
        <w:t xml:space="preserve">- 对华投资限制从”入境投资”扩展至”出境投资”</w:t>
      </w:r>
      <w:r>
        <w:t xml:space="preserve"> </w:t>
      </w:r>
      <w:r>
        <w:t xml:space="preserve">- 预计2026年将有更多中国实体被列入NS-CMIC清单</w:t>
      </w:r>
    </w:p>
    <w:p>
      <w:r>
        <w:pict>
          <v:rect style="width:0;height:1.5pt" o:hralign="center" o:hrstd="t" o:hr="t"/>
        </w:pict>
      </w:r>
    </w:p>
    <w:bookmarkEnd w:id="25"/>
    <w:bookmarkStart w:id="26" w:name="出口管制p1级"/>
    <w:p>
      <w:pPr>
        <w:pStyle w:val="Heading3"/>
      </w:pPr>
      <w:r>
        <w:t xml:space="preserve">出口管制（P1级）</w:t>
      </w:r>
    </w:p>
    <w:p>
      <w:pPr>
        <w:pStyle w:val="FirstParagraph"/>
      </w:pPr>
      <w:r>
        <w:rPr>
          <w:bCs/>
          <w:b/>
        </w:rPr>
        <w:t xml:space="preserve">现状描述</w:t>
      </w:r>
      <w:r>
        <w:t xml:space="preserve">:</w:t>
      </w:r>
      <w:r>
        <w:br/>
      </w:r>
      <w:r>
        <w:t xml:space="preserve">2026年1月15日，BIS发布最终规则，对NVIDIA H200和AMD MI325X等AI芯片的对华出口实施”逐案审查”政策，取代此前的”拒绝推定”。</w:t>
      </w:r>
    </w:p>
    <w:p>
      <w:pPr>
        <w:pStyle w:val="BodyText"/>
      </w:pPr>
      <w:r>
        <w:rPr>
          <w:bCs/>
          <w:b/>
        </w:rPr>
        <w:t xml:space="preserve">关键条件</w:t>
      </w:r>
      <w:r>
        <w:t xml:space="preserve">:</w:t>
      </w:r>
      <w:r>
        <w:t xml:space="preserve"> </w:t>
      </w:r>
      <w:r>
        <w:t xml:space="preserve">1. 美国供应充足证明（中国出货量不超过美国50%）</w:t>
      </w:r>
      <w:r>
        <w:t xml:space="preserve"> </w:t>
      </w:r>
      <w:r>
        <w:t xml:space="preserve">2. 中国采购方实施KYC（了解你的客户）程序</w:t>
      </w:r>
      <w:r>
        <w:t xml:space="preserve"> </w:t>
      </w:r>
      <w:r>
        <w:t xml:space="preserve">3. 独立第三方美国实验室测试</w:t>
      </w:r>
      <w:r>
        <w:t xml:space="preserve"> </w:t>
      </w:r>
      <w:r>
        <w:t xml:space="preserve">4. 25%收入关税上缴美国政府</w:t>
      </w:r>
    </w:p>
    <w:p>
      <w:pPr>
        <w:pStyle w:val="BodyText"/>
      </w:pPr>
      <w:r>
        <w:rPr>
          <w:bCs/>
          <w:b/>
        </w:rPr>
        <w:t xml:space="preserve">趋势分析</w:t>
      </w:r>
      <w:r>
        <w:t xml:space="preserve">: 📉</w:t>
      </w:r>
      <w:r>
        <w:br/>
      </w:r>
      <w:r>
        <w:t xml:space="preserve">- 国会强烈反对：众议院外委会42-2通过AI OVERWATCH法案，拟禁止Blackwell级芯片出口</w:t>
      </w:r>
      <w:r>
        <w:t xml:space="preserve"> </w:t>
      </w:r>
      <w:r>
        <w:t xml:space="preserve">- 中国已禁止国内企业采购H20和RTX Pro 6000D作为反制</w:t>
      </w:r>
      <w:r>
        <w:t xml:space="preserve"> </w:t>
      </w:r>
      <w:r>
        <w:t xml:space="preserve">- 政策存在被国会立法推翻的风险</w:t>
      </w:r>
    </w:p>
    <w:p>
      <w:r>
        <w:pict>
          <v:rect style="width:0;height:1.5pt" o:hralign="center" o:hrstd="t" o:hr="t"/>
        </w:pict>
      </w:r>
    </w:p>
    <w:bookmarkEnd w:id="26"/>
    <w:bookmarkStart w:id="27" w:name="制裁p1级"/>
    <w:p>
      <w:pPr>
        <w:pStyle w:val="Heading3"/>
      </w:pPr>
      <w:r>
        <w:t xml:space="preserve">制裁（P1级）</w:t>
      </w:r>
    </w:p>
    <w:p>
      <w:pPr>
        <w:pStyle w:val="FirstParagraph"/>
      </w:pPr>
      <w:r>
        <w:rPr>
          <w:bCs/>
          <w:b/>
        </w:rPr>
        <w:t xml:space="preserve">现状描述</w:t>
      </w:r>
      <w:r>
        <w:t xml:space="preserve">:</w:t>
      </w:r>
      <w:r>
        <w:br/>
      </w:r>
      <w:r>
        <w:t xml:space="preserve">2025年全年，超过230个中国个人和实体被OFAC列入与俄罗斯、伊朗、朝鲜相关的制裁清单。BIS实体清单新增超过120个条目，总数突破1000个。</w:t>
      </w:r>
    </w:p>
    <w:p>
      <w:pPr>
        <w:pStyle w:val="BodyText"/>
      </w:pPr>
      <w:r>
        <w:rPr>
          <w:bCs/>
          <w:b/>
        </w:rPr>
        <w:t xml:space="preserve">趋势分析</w:t>
      </w:r>
      <w:r>
        <w:t xml:space="preserve">: 📈</w:t>
      </w:r>
      <w:r>
        <w:br/>
      </w:r>
      <w:r>
        <w:t xml:space="preserve">- 制裁重点从”实体清单扩容”转向”规避行为打击”</w:t>
      </w:r>
      <w:r>
        <w:t xml:space="preserve"> </w:t>
      </w:r>
      <w:r>
        <w:t xml:space="preserve">- 中转、分层所有权、第三国枢纽等规避手段受到更严格审查</w:t>
      </w:r>
      <w:r>
        <w:t xml:space="preserve"> </w:t>
      </w:r>
      <w:r>
        <w:t xml:space="preserve">- 2026年BIS”关联企业规则”（Affiliates Rule）一年暂停期结束后可能重新激活</w:t>
      </w:r>
    </w:p>
    <w:p>
      <w:r>
        <w:pict>
          <v:rect style="width:0;height:1.5pt" o:hralign="center" o:hrstd="t" o:hr="t"/>
        </w:pict>
      </w:r>
    </w:p>
    <w:bookmarkEnd w:id="27"/>
    <w:bookmarkStart w:id="28" w:name="关键矿产p2级"/>
    <w:p>
      <w:pPr>
        <w:pStyle w:val="Heading3"/>
      </w:pPr>
      <w:r>
        <w:t xml:space="preserve">关键矿产（P2级）</w:t>
      </w:r>
    </w:p>
    <w:p>
      <w:pPr>
        <w:pStyle w:val="FirstParagraph"/>
      </w:pPr>
      <w:r>
        <w:rPr>
          <w:bCs/>
          <w:b/>
        </w:rPr>
        <w:t xml:space="preserve">现状描述</w:t>
      </w:r>
      <w:r>
        <w:t xml:space="preserve">:</w:t>
      </w:r>
      <w:r>
        <w:br/>
      </w:r>
      <w:r>
        <w:t xml:space="preserve">中国持续利用其在稀土和关键矿产领域的主导地位作为地缘政治杠杆。</w:t>
      </w:r>
    </w:p>
    <w:p>
      <w:pPr>
        <w:pStyle w:val="BodyText"/>
      </w:pPr>
      <w:r>
        <w:rPr>
          <w:bCs/>
          <w:b/>
        </w:rPr>
        <w:t xml:space="preserve">2025年关键措施</w:t>
      </w:r>
      <w:r>
        <w:t xml:space="preserve">:</w:t>
      </w:r>
      <w:r>
        <w:t xml:space="preserve"> </w:t>
      </w:r>
      <w:r>
        <w:t xml:space="preserve">| 时间 | 措施 | 影响 |</w:t>
      </w:r>
      <w:r>
        <w:t xml:space="preserve"> </w:t>
      </w:r>
      <w:r>
        <w:t xml:space="preserve">|——|——|——|</w:t>
      </w:r>
      <w:r>
        <w:t xml:space="preserve"> </w:t>
      </w:r>
      <w:r>
        <w:t xml:space="preserve">| 2025-04-04 | 对7种中重稀土实施出口管制 | 全球供应链震荡 |</w:t>
      </w:r>
      <w:r>
        <w:t xml:space="preserve"> </w:t>
      </w:r>
      <w:r>
        <w:t xml:space="preserve">| 2025-10-09 | 新增5种稀土及锂电池材料管制 | 原定2025-11-08生效 |</w:t>
      </w:r>
      <w:r>
        <w:t xml:space="preserve"> </w:t>
      </w:r>
      <w:r>
        <w:t xml:space="preserve">| 2025-11-07 | 暂停第二批管制一年 | 中美贸易谈判结果 |</w:t>
      </w:r>
    </w:p>
    <w:p>
      <w:pPr>
        <w:pStyle w:val="BodyText"/>
      </w:pPr>
      <w:r>
        <w:rPr>
          <w:bCs/>
          <w:b/>
        </w:rPr>
        <w:t xml:space="preserve">趋势分析</w:t>
      </w:r>
      <w:r>
        <w:t xml:space="preserve">: ⚠️</w:t>
      </w:r>
      <w:r>
        <w:br/>
      </w:r>
      <w:r>
        <w:t xml:space="preserve">- 中国稀土出口管制已扩展至”域外管辖”——含0.1%中国原料的外国产品也需许可</w:t>
      </w:r>
      <w:r>
        <w:t xml:space="preserve"> </w:t>
      </w:r>
      <w:r>
        <w:t xml:space="preserve">- 美国国防工业严重依赖中国稀土，短期难以替代</w:t>
      </w:r>
      <w:r>
        <w:t xml:space="preserve"> </w:t>
      </w:r>
      <w:r>
        <w:t xml:space="preserve">- 价格飙升：欧洲稀土价格一度达到中国价格的6倍</w:t>
      </w:r>
    </w:p>
    <w:p>
      <w:r>
        <w:pict>
          <v:rect style="width:0;height:1.5pt" o:hralign="center" o:hrstd="t" o:hr="t"/>
        </w:pict>
      </w:r>
    </w:p>
    <w:bookmarkEnd w:id="28"/>
    <w:bookmarkStart w:id="29" w:name="科技产业p2级"/>
    <w:p>
      <w:pPr>
        <w:pStyle w:val="Heading3"/>
      </w:pPr>
      <w:r>
        <w:t xml:space="preserve">科技产业（P2级）</w:t>
      </w:r>
    </w:p>
    <w:p>
      <w:pPr>
        <w:pStyle w:val="FirstParagraph"/>
      </w:pPr>
      <w:r>
        <w:rPr>
          <w:bCs/>
          <w:b/>
        </w:rPr>
        <w:t xml:space="preserve">现状描述</w:t>
      </w:r>
      <w:r>
        <w:t xml:space="preserve">:</w:t>
      </w:r>
      <w:r>
        <w:br/>
      </w:r>
      <w:r>
        <w:t xml:space="preserve">美国对华科技竞争聚焦AI芯片、半导体制造设备、EDA软件三大领域。</w:t>
      </w:r>
    </w:p>
    <w:p>
      <w:pPr>
        <w:pStyle w:val="BodyText"/>
      </w:pPr>
      <w:r>
        <w:rPr>
          <w:bCs/>
          <w:b/>
        </w:rPr>
        <w:t xml:space="preserve">关键数据</w:t>
      </w:r>
      <w:r>
        <w:t xml:space="preserve">:</w:t>
      </w:r>
      <w:r>
        <w:t xml:space="preserve"> </w:t>
      </w:r>
      <w:r>
        <w:t xml:space="preserve">- 美国AI芯片产能：2025年367万B300当量，2026年预计689万</w:t>
      </w:r>
      <w:r>
        <w:t xml:space="preserve"> </w:t>
      </w:r>
      <w:r>
        <w:t xml:space="preserve">- 华为AI芯片产能：2025年4-14.6万B300当量（仅为美国1-4%）</w:t>
      </w:r>
      <w:r>
        <w:t xml:space="preserve"> </w:t>
      </w:r>
      <w:r>
        <w:t xml:space="preserve">- 中国HBM产能：2025年几乎为零，2026年预计支持27.5万片芯片</w:t>
      </w:r>
    </w:p>
    <w:p>
      <w:pPr>
        <w:pStyle w:val="BodyText"/>
      </w:pPr>
      <w:r>
        <w:rPr>
          <w:bCs/>
          <w:b/>
        </w:rPr>
        <w:t xml:space="preserve">趋势分析</w:t>
      </w:r>
      <w:r>
        <w:t xml:space="preserve">: 📈</w:t>
      </w:r>
      <w:r>
        <w:br/>
      </w:r>
      <w:r>
        <w:t xml:space="preserve">- 美国维持5倍AI算力优势，但H200出口政策可能缩小差距</w:t>
      </w:r>
      <w:r>
        <w:t xml:space="preserve"> </w:t>
      </w:r>
      <w:r>
        <w:t xml:space="preserve">- 华为芯片良率仅5-20%，远低于美国60-80%</w:t>
      </w:r>
      <w:r>
        <w:t xml:space="preserve"> </w:t>
      </w:r>
      <w:r>
        <w:t xml:space="preserve">- 中国通过DeepSeek等软件优化部分抵消硬件劣势</w:t>
      </w:r>
    </w:p>
    <w:p>
      <w:r>
        <w:pict>
          <v:rect style="width:0;height:1.5pt" o:hralign="center" o:hrstd="t" o:hr="t"/>
        </w:pict>
      </w:r>
    </w:p>
    <w:bookmarkEnd w:id="29"/>
    <w:bookmarkStart w:id="30" w:name="军事地缘p2级"/>
    <w:p>
      <w:pPr>
        <w:pStyle w:val="Heading3"/>
      </w:pPr>
      <w:r>
        <w:t xml:space="preserve">军事地缘（P2级）</w:t>
      </w:r>
    </w:p>
    <w:p>
      <w:pPr>
        <w:pStyle w:val="FirstParagraph"/>
      </w:pPr>
      <w:r>
        <w:rPr>
          <w:bCs/>
          <w:b/>
        </w:rPr>
        <w:t xml:space="preserve">现状描述</w:t>
      </w:r>
      <w:r>
        <w:t xml:space="preserve">:</w:t>
      </w:r>
      <w:r>
        <w:br/>
      </w:r>
      <w:r>
        <w:t xml:space="preserve">INDOPACOM司令帕帕罗上将2月13日在檀香山防务论坛上警告，解放军台海演习是”强制统一的彩排”。</w:t>
      </w:r>
    </w:p>
    <w:p>
      <w:pPr>
        <w:pStyle w:val="BodyText"/>
      </w:pPr>
      <w:r>
        <w:rPr>
          <w:bCs/>
          <w:b/>
        </w:rPr>
        <w:t xml:space="preserve">关键动态</w:t>
      </w:r>
      <w:r>
        <w:t xml:space="preserve">:</w:t>
      </w:r>
      <w:r>
        <w:t xml:space="preserve"> </w:t>
      </w:r>
      <w:r>
        <w:t xml:space="preserve">- 2024年夏季演习规模：42个旅、150艘舰艇、200艘两栖攻击艇</w:t>
      </w:r>
      <w:r>
        <w:t xml:space="preserve"> </w:t>
      </w:r>
      <w:r>
        <w:t xml:space="preserve">- 美国F-35可用率远低于目标，维护积压严重</w:t>
      </w:r>
      <w:r>
        <w:t xml:space="preserve"> </w:t>
      </w:r>
      <w:r>
        <w:t xml:space="preserve">- 精确制导弹药库存低于要求水平</w:t>
      </w:r>
    </w:p>
    <w:p>
      <w:pPr>
        <w:pStyle w:val="BodyText"/>
      </w:pPr>
      <w:r>
        <w:rPr>
          <w:bCs/>
          <w:b/>
        </w:rPr>
        <w:t xml:space="preserve">趋势分析</w:t>
      </w:r>
      <w:r>
        <w:t xml:space="preserve">: ⚠️</w:t>
      </w:r>
      <w:r>
        <w:br/>
      </w:r>
      <w:r>
        <w:t xml:space="preserve">-</w:t>
      </w:r>
      <w:r>
        <w:t xml:space="preserve"> </w:t>
      </w:r>
      <w:r>
        <w:t xml:space="preserve">“</w:t>
      </w:r>
      <w:r>
        <w:t xml:space="preserve">戴维森窗口</w:t>
      </w:r>
      <w:r>
        <w:t xml:space="preserve">”</w:t>
      </w:r>
      <w:r>
        <w:t xml:space="preserve">（2027年）临近，美军备战压力增大</w:t>
      </w:r>
      <w:r>
        <w:t xml:space="preserve"> </w:t>
      </w:r>
      <w:r>
        <w:t xml:space="preserve">- 美日韩三边合作深化，AUKUS推进核潜艇技术转移</w:t>
      </w:r>
      <w:r>
        <w:t xml:space="preserve"> </w:t>
      </w:r>
      <w:r>
        <w:t xml:space="preserve">- 中俄朝”麻烦制造者三角”军事技术合作加强</w:t>
      </w:r>
    </w:p>
    <w:p>
      <w:r>
        <w:pict>
          <v:rect style="width:0;height:1.5pt" o:hralign="center" o:hrstd="t" o:hr="t"/>
        </w:pict>
      </w:r>
    </w:p>
    <w:bookmarkEnd w:id="30"/>
    <w:bookmarkEnd w:id="31"/>
    <w:bookmarkStart w:id="35" w:name="市场影响"/>
    <w:p>
      <w:pPr>
        <w:pStyle w:val="Heading2"/>
      </w:pPr>
      <w:r>
        <w:t xml:space="preserve">3) 市场影响</w:t>
      </w:r>
    </w:p>
    <w:bookmarkStart w:id="32" w:name="芯片ai"/>
    <w:p>
      <w:pPr>
        <w:pStyle w:val="Heading3"/>
      </w:pPr>
      <w:r>
        <w:t xml:space="preserve">芯片/AI</w:t>
      </w:r>
    </w:p>
    <w:tbl>
      <w:tblPr>
        <w:tblStyle w:val="Table"/>
        <w:tblW w:type="pct" w:w="5000"/>
        <w:tblLook w:firstRow="1" w:lastRow="0" w:firstColumn="0" w:lastColumn="0" w:noHBand="0" w:noVBand="0" w:val="0020"/>
        <w:jc w:val="start"/>
      </w:tblPr>
      <w:tblGrid>
        <w:gridCol w:w="3600"/>
        <w:gridCol w:w="2160"/>
        <w:gridCol w:w="2160"/>
      </w:tblGrid>
      <w:tr>
        <w:trPr>
          <w:tblHeader w:val="true"/>
        </w:trPr>
        <w:tc>
          <w:tcPr/>
          <w:p>
            <w:pPr>
              <w:pStyle w:val="Compact"/>
              <w:jc w:val="left"/>
            </w:pPr>
            <w:r>
              <w:t xml:space="preserve">时间维度</w:t>
            </w:r>
          </w:p>
        </w:tc>
        <w:tc>
          <w:tcPr/>
          <w:p>
            <w:pPr>
              <w:pStyle w:val="Compact"/>
              <w:jc w:val="left"/>
            </w:pPr>
            <w:r>
              <w:t xml:space="preserve">影响</w:t>
            </w:r>
          </w:p>
        </w:tc>
        <w:tc>
          <w:tcPr/>
          <w:p>
            <w:pPr>
              <w:pStyle w:val="Compact"/>
              <w:jc w:val="left"/>
            </w:pPr>
            <w:r>
              <w:t xml:space="preserve">趋势</w:t>
            </w:r>
          </w:p>
        </w:tc>
      </w:tr>
      <w:tr>
        <w:tc>
          <w:tcPr/>
          <w:p>
            <w:pPr>
              <w:pStyle w:val="Compact"/>
              <w:jc w:val="left"/>
            </w:pPr>
            <w:r>
              <w:rPr>
                <w:bCs/>
                <w:b/>
              </w:rPr>
              <w:t xml:space="preserve">短期</w:t>
            </w:r>
          </w:p>
        </w:tc>
        <w:tc>
          <w:tcPr/>
          <w:p>
            <w:pPr>
              <w:pStyle w:val="Compact"/>
              <w:jc w:val="left"/>
            </w:pPr>
            <w:r>
              <w:t xml:space="preserve">H200出口政策带来不确定性，国会立法可能推翻</w:t>
            </w:r>
          </w:p>
        </w:tc>
        <w:tc>
          <w:tcPr/>
          <w:p>
            <w:pPr>
              <w:pStyle w:val="Compact"/>
              <w:jc w:val="left"/>
            </w:pPr>
            <w:r>
              <w:t xml:space="preserve">📉 负面</w:t>
            </w:r>
          </w:p>
        </w:tc>
      </w:tr>
      <w:tr>
        <w:tc>
          <w:tcPr/>
          <w:p>
            <w:pPr>
              <w:pStyle w:val="Compact"/>
              <w:jc w:val="left"/>
            </w:pPr>
            <w:r>
              <w:rPr>
                <w:bCs/>
                <w:b/>
              </w:rPr>
              <w:t xml:space="preserve">中期</w:t>
            </w:r>
          </w:p>
        </w:tc>
        <w:tc>
          <w:tcPr/>
          <w:p>
            <w:pPr>
              <w:pStyle w:val="Compact"/>
              <w:jc w:val="left"/>
            </w:pPr>
            <w:r>
              <w:t xml:space="preserve">若Blackwell级芯片禁令立法通过，NVIDIA将损失重要收入来源</w:t>
            </w:r>
          </w:p>
        </w:tc>
        <w:tc>
          <w:tcPr/>
          <w:p>
            <w:pPr>
              <w:pStyle w:val="Compact"/>
              <w:jc w:val="left"/>
            </w:pPr>
            <w:r>
              <w:t xml:space="preserve">📉 负面</w:t>
            </w:r>
          </w:p>
        </w:tc>
      </w:tr>
      <w:tr>
        <w:tc>
          <w:tcPr/>
          <w:p>
            <w:pPr>
              <w:pStyle w:val="Compact"/>
              <w:jc w:val="left"/>
            </w:pPr>
            <w:r>
              <w:rPr>
                <w:bCs/>
                <w:b/>
              </w:rPr>
              <w:t xml:space="preserve">趋势</w:t>
            </w:r>
          </w:p>
        </w:tc>
        <w:tc>
          <w:tcPr/>
          <w:p>
            <w:pPr>
              <w:pStyle w:val="Compact"/>
              <w:jc w:val="left"/>
            </w:pPr>
            <w:r>
              <w:t xml:space="preserve">AI芯片成为战略资产，贸易属性弱化</w:t>
            </w:r>
          </w:p>
        </w:tc>
        <w:tc>
          <w:tcPr/>
          <w:p>
            <w:pPr>
              <w:pStyle w:val="Compact"/>
              <w:jc w:val="left"/>
            </w:pPr>
            <w:r>
              <w:t xml:space="preserve">⚠️ 结构性变化</w:t>
            </w:r>
          </w:p>
        </w:tc>
      </w:tr>
    </w:tbl>
    <w:bookmarkEnd w:id="32"/>
    <w:bookmarkStart w:id="33" w:name="稀土关键矿产"/>
    <w:p>
      <w:pPr>
        <w:pStyle w:val="Heading3"/>
      </w:pPr>
      <w:r>
        <w:t xml:space="preserve">稀土/关键矿产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时间维度</w:t>
            </w:r>
          </w:p>
        </w:tc>
        <w:tc>
          <w:tcPr/>
          <w:p>
            <w:pPr>
              <w:pStyle w:val="Compact"/>
              <w:jc w:val="left"/>
            </w:pPr>
            <w:r>
              <w:t xml:space="preserve">影响</w:t>
            </w:r>
          </w:p>
        </w:tc>
        <w:tc>
          <w:tcPr/>
          <w:p>
            <w:pPr>
              <w:pStyle w:val="Compact"/>
              <w:jc w:val="left"/>
            </w:pPr>
            <w:r>
              <w:t xml:space="preserve">趋势</w:t>
            </w:r>
          </w:p>
        </w:tc>
      </w:tr>
      <w:tr>
        <w:tc>
          <w:tcPr/>
          <w:p>
            <w:pPr>
              <w:pStyle w:val="Compact"/>
              <w:jc w:val="left"/>
            </w:pPr>
            <w:r>
              <w:rPr>
                <w:bCs/>
                <w:b/>
              </w:rPr>
              <w:t xml:space="preserve">短期</w:t>
            </w:r>
          </w:p>
        </w:tc>
        <w:tc>
          <w:tcPr/>
          <w:p>
            <w:pPr>
              <w:pStyle w:val="Compact"/>
              <w:jc w:val="left"/>
            </w:pPr>
            <w:r>
              <w:t xml:space="preserve">中国管制暂停一年，供应紧张缓解</w:t>
            </w:r>
          </w:p>
        </w:tc>
        <w:tc>
          <w:tcPr/>
          <w:p>
            <w:pPr>
              <w:pStyle w:val="Compact"/>
              <w:jc w:val="left"/>
            </w:pPr>
            <w:r>
              <w:t xml:space="preserve">📈 正面</w:t>
            </w:r>
          </w:p>
        </w:tc>
      </w:tr>
      <w:tr>
        <w:tc>
          <w:tcPr/>
          <w:p>
            <w:pPr>
              <w:pStyle w:val="Compact"/>
              <w:jc w:val="left"/>
            </w:pPr>
            <w:r>
              <w:rPr>
                <w:bCs/>
                <w:b/>
              </w:rPr>
              <w:t xml:space="preserve">中期</w:t>
            </w:r>
          </w:p>
        </w:tc>
        <w:tc>
          <w:tcPr/>
          <w:p>
            <w:pPr>
              <w:pStyle w:val="Compact"/>
              <w:jc w:val="left"/>
            </w:pPr>
            <w:r>
              <w:t xml:space="preserve">西方替代供应链建设需8-10年</w:t>
            </w:r>
          </w:p>
        </w:tc>
        <w:tc>
          <w:tcPr/>
          <w:p>
            <w:pPr>
              <w:pStyle w:val="Compact"/>
              <w:jc w:val="left"/>
            </w:pPr>
            <w:r>
              <w:t xml:space="preserve">📉 负面</w:t>
            </w:r>
          </w:p>
        </w:tc>
      </w:tr>
      <w:tr>
        <w:tc>
          <w:tcPr/>
          <w:p>
            <w:pPr>
              <w:pStyle w:val="Compact"/>
              <w:jc w:val="left"/>
            </w:pPr>
            <w:r>
              <w:rPr>
                <w:bCs/>
                <w:b/>
              </w:rPr>
              <w:t xml:space="preserve">趋势</w:t>
            </w:r>
          </w:p>
        </w:tc>
        <w:tc>
          <w:tcPr/>
          <w:p>
            <w:pPr>
              <w:pStyle w:val="Compact"/>
              <w:jc w:val="left"/>
            </w:pPr>
            <w:r>
              <w:t xml:space="preserve">中国主导地位难以撼动，地缘政治杠杆持续</w:t>
            </w:r>
          </w:p>
        </w:tc>
        <w:tc>
          <w:tcPr/>
          <w:p>
            <w:pPr>
              <w:pStyle w:val="Compact"/>
              <w:jc w:val="left"/>
            </w:pPr>
            <w:r>
              <w:t xml:space="preserve">⚠️ 高风险</w:t>
            </w:r>
          </w:p>
        </w:tc>
      </w:tr>
    </w:tbl>
    <w:bookmarkEnd w:id="33"/>
    <w:bookmarkStart w:id="34" w:name="关税贸易"/>
    <w:p>
      <w:pPr>
        <w:pStyle w:val="Heading3"/>
      </w:pPr>
      <w:r>
        <w:t xml:space="preserve">关税/贸易</w:t>
      </w:r>
    </w:p>
    <w:tbl>
      <w:tblPr>
        <w:tblStyle w:val="Table"/>
        <w:tblW w:type="pct" w:w="5000"/>
        <w:tblLook w:firstRow="1" w:lastRow="0" w:firstColumn="0" w:lastColumn="0" w:noHBand="0" w:noVBand="0" w:val="0020"/>
        <w:jc w:val="start"/>
      </w:tblPr>
      <w:tblGrid>
        <w:gridCol w:w="3600"/>
        <w:gridCol w:w="2160"/>
        <w:gridCol w:w="2160"/>
      </w:tblGrid>
      <w:tr>
        <w:trPr>
          <w:tblHeader w:val="true"/>
        </w:trPr>
        <w:tc>
          <w:tcPr/>
          <w:p>
            <w:pPr>
              <w:pStyle w:val="Compact"/>
              <w:jc w:val="left"/>
            </w:pPr>
            <w:r>
              <w:t xml:space="preserve">时间维度</w:t>
            </w:r>
          </w:p>
        </w:tc>
        <w:tc>
          <w:tcPr/>
          <w:p>
            <w:pPr>
              <w:pStyle w:val="Compact"/>
              <w:jc w:val="left"/>
            </w:pPr>
            <w:r>
              <w:t xml:space="preserve">影响</w:t>
            </w:r>
          </w:p>
        </w:tc>
        <w:tc>
          <w:tcPr/>
          <w:p>
            <w:pPr>
              <w:pStyle w:val="Compact"/>
              <w:jc w:val="left"/>
            </w:pPr>
            <w:r>
              <w:t xml:space="preserve">趋势</w:t>
            </w:r>
          </w:p>
        </w:tc>
      </w:tr>
      <w:tr>
        <w:tc>
          <w:tcPr/>
          <w:p>
            <w:pPr>
              <w:pStyle w:val="Compact"/>
              <w:jc w:val="left"/>
            </w:pPr>
            <w:r>
              <w:rPr>
                <w:bCs/>
                <w:b/>
              </w:rPr>
              <w:t xml:space="preserve">短期</w:t>
            </w:r>
          </w:p>
        </w:tc>
        <w:tc>
          <w:tcPr/>
          <w:p>
            <w:pPr>
              <w:pStyle w:val="Compact"/>
              <w:jc w:val="left"/>
            </w:pPr>
            <w:r>
              <w:t xml:space="preserve">最高法院裁决降低关税不确定性，但Section 122替代方案维持高税率</w:t>
            </w:r>
          </w:p>
        </w:tc>
        <w:tc>
          <w:tcPr/>
          <w:p>
            <w:pPr>
              <w:pStyle w:val="Compact"/>
              <w:jc w:val="left"/>
            </w:pPr>
            <w:r>
              <w:t xml:space="preserve">⚠️ 中性</w:t>
            </w:r>
          </w:p>
        </w:tc>
      </w:tr>
      <w:tr>
        <w:tc>
          <w:tcPr/>
          <w:p>
            <w:pPr>
              <w:pStyle w:val="Compact"/>
              <w:jc w:val="left"/>
            </w:pPr>
            <w:r>
              <w:rPr>
                <w:bCs/>
                <w:b/>
              </w:rPr>
              <w:t xml:space="preserve">中期</w:t>
            </w:r>
          </w:p>
        </w:tc>
        <w:tc>
          <w:tcPr/>
          <w:p>
            <w:pPr>
              <w:pStyle w:val="Compact"/>
              <w:jc w:val="left"/>
            </w:pPr>
            <w:r>
              <w:t xml:space="preserve">150天期限后需国会批准，政治博弈加剧</w:t>
            </w:r>
          </w:p>
        </w:tc>
        <w:tc>
          <w:tcPr/>
          <w:p>
            <w:pPr>
              <w:pStyle w:val="Compact"/>
              <w:jc w:val="left"/>
            </w:pPr>
            <w:r>
              <w:t xml:space="preserve">📉 不确定</w:t>
            </w:r>
          </w:p>
        </w:tc>
      </w:tr>
      <w:tr>
        <w:tc>
          <w:tcPr/>
          <w:p>
            <w:pPr>
              <w:pStyle w:val="Compact"/>
              <w:jc w:val="left"/>
            </w:pPr>
            <w:r>
              <w:rPr>
                <w:bCs/>
                <w:b/>
              </w:rPr>
              <w:t xml:space="preserve">趋势</w:t>
            </w:r>
          </w:p>
        </w:tc>
        <w:tc>
          <w:tcPr/>
          <w:p>
            <w:pPr>
              <w:pStyle w:val="Compact"/>
              <w:jc w:val="left"/>
            </w:pPr>
            <w:r>
              <w:t xml:space="preserve">关税工具化趋势持续，贸易政策安全化</w:t>
            </w:r>
          </w:p>
        </w:tc>
        <w:tc>
          <w:tcPr/>
          <w:p>
            <w:pPr>
              <w:pStyle w:val="Compact"/>
              <w:jc w:val="left"/>
            </w:pPr>
            <w:r>
              <w:t xml:space="preserve">📉 负面</w:t>
            </w:r>
          </w:p>
        </w:tc>
      </w:tr>
    </w:tbl>
    <w:p>
      <w:r>
        <w:pict>
          <v:rect style="width:0;height:1.5pt" o:hralign="center" o:hrstd="t" o:hr="t"/>
        </w:pict>
      </w:r>
    </w:p>
    <w:bookmarkEnd w:id="34"/>
    <w:bookmarkEnd w:id="35"/>
    <w:bookmarkStart w:id="39" w:name="政策趋势分析"/>
    <w:p>
      <w:pPr>
        <w:pStyle w:val="Heading2"/>
      </w:pPr>
      <w:r>
        <w:t xml:space="preserve">4) 政策趋势分析</w:t>
      </w:r>
    </w:p>
    <w:bookmarkStart w:id="36" w:name="关税政策变化趋势时间线"/>
    <w:p>
      <w:pPr>
        <w:pStyle w:val="Heading3"/>
      </w:pPr>
      <w:r>
        <w:t xml:space="preserve">关税政策变化趋势（时间线）</w:t>
      </w:r>
    </w:p>
    <w:p>
      <w:pPr>
        <w:pStyle w:val="SourceCode"/>
      </w:pPr>
      <w:r>
        <w:rPr>
          <w:rStyle w:val="VerbatimChar"/>
        </w:rPr>
        <w:t xml:space="preserve">2025-02-04: 10% IEEPA "芬太尼关税"生效</w:t>
      </w:r>
      <w:r>
        <w:br/>
      </w:r>
      <w:r>
        <w:rPr>
          <w:rStyle w:val="VerbatimChar"/>
        </w:rPr>
        <w:t xml:space="preserve">2025-03-04: 芬太尼关税提升至20%</w:t>
      </w:r>
      <w:r>
        <w:br/>
      </w:r>
      <w:r>
        <w:rPr>
          <w:rStyle w:val="VerbatimChar"/>
        </w:rPr>
        <w:t xml:space="preserve">2025-04-02: "解放日"34%互惠关税宣布</w:t>
      </w:r>
      <w:r>
        <w:br/>
      </w:r>
      <w:r>
        <w:rPr>
          <w:rStyle w:val="VerbatimChar"/>
        </w:rPr>
        <w:t xml:space="preserve">2025-04-09: 对华关税升至145%</w:t>
      </w:r>
      <w:r>
        <w:br/>
      </w:r>
      <w:r>
        <w:rPr>
          <w:rStyle w:val="VerbatimChar"/>
        </w:rPr>
        <w:t xml:space="preserve">2025-05-14: 中美协议降至10%（90天）</w:t>
      </w:r>
      <w:r>
        <w:br/>
      </w:r>
      <w:r>
        <w:rPr>
          <w:rStyle w:val="VerbatimChar"/>
        </w:rPr>
        <w:t xml:space="preserve">2025-10-30: 习特会延长10%税率至2026-11-10</w:t>
      </w:r>
      <w:r>
        <w:br/>
      </w:r>
      <w:r>
        <w:rPr>
          <w:rStyle w:val="VerbatimChar"/>
        </w:rPr>
        <w:t xml:space="preserve">2026-02-20: 最高法院裁定IEEPA关税非法</w:t>
      </w:r>
      <w:r>
        <w:br/>
      </w:r>
      <w:r>
        <w:rPr>
          <w:rStyle w:val="VerbatimChar"/>
        </w:rPr>
        <w:t xml:space="preserve">2026-02-24: Section 122 15%全球关税生效（150天）</w:t>
      </w:r>
    </w:p>
    <w:bookmarkEnd w:id="36"/>
    <w:bookmarkStart w:id="37" w:name="实体清单扩容节奏"/>
    <w:p>
      <w:pPr>
        <w:pStyle w:val="Heading3"/>
      </w:pPr>
      <w:r>
        <w:t xml:space="preserve">实体清单扩容节奏</w:t>
      </w:r>
    </w:p>
    <w:p>
      <w:pPr>
        <w:numPr>
          <w:ilvl w:val="0"/>
          <w:numId w:val="1001"/>
        </w:numPr>
        <w:pStyle w:val="Compact"/>
      </w:pPr>
      <w:r>
        <w:rPr>
          <w:bCs/>
          <w:b/>
        </w:rPr>
        <w:t xml:space="preserve">2024年12月</w:t>
      </w:r>
      <w:r>
        <w:t xml:space="preserve">: 140家中国实体新增（半导体制造设备相关）</w:t>
      </w:r>
    </w:p>
    <w:p>
      <w:pPr>
        <w:numPr>
          <w:ilvl w:val="0"/>
          <w:numId w:val="1001"/>
        </w:numPr>
        <w:pStyle w:val="Compact"/>
      </w:pPr>
      <w:r>
        <w:rPr>
          <w:bCs/>
          <w:b/>
        </w:rPr>
        <w:t xml:space="preserve">2025年3月</w:t>
      </w:r>
      <w:r>
        <w:t xml:space="preserve">: 80+公司新增（聚焦中国）</w:t>
      </w:r>
    </w:p>
    <w:p>
      <w:pPr>
        <w:numPr>
          <w:ilvl w:val="0"/>
          <w:numId w:val="1001"/>
        </w:numPr>
        <w:pStyle w:val="Compact"/>
      </w:pPr>
      <w:r>
        <w:rPr>
          <w:bCs/>
          <w:b/>
        </w:rPr>
        <w:t xml:space="preserve">2025年全年</w:t>
      </w:r>
      <w:r>
        <w:t xml:space="preserve">: 120+新增条目，总数突破1000</w:t>
      </w:r>
    </w:p>
    <w:p>
      <w:pPr>
        <w:numPr>
          <w:ilvl w:val="0"/>
          <w:numId w:val="1001"/>
        </w:numPr>
        <w:pStyle w:val="Compact"/>
      </w:pPr>
      <w:r>
        <w:rPr>
          <w:bCs/>
          <w:b/>
        </w:rPr>
        <w:t xml:space="preserve">趋势</w:t>
      </w:r>
      <w:r>
        <w:t xml:space="preserve">: 从”广泛覆盖”转向”精准打击”（规避行为、军事最终用户）</w:t>
      </w:r>
    </w:p>
    <w:bookmarkEnd w:id="37"/>
    <w:bookmarkStart w:id="38" w:name="技术管制领域扩展"/>
    <w:p>
      <w:pPr>
        <w:pStyle w:val="Heading3"/>
      </w:pPr>
      <w:r>
        <w:t xml:space="preserve">技术管制领域扩展</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领域</w:t>
            </w:r>
          </w:p>
        </w:tc>
        <w:tc>
          <w:tcPr/>
          <w:p>
            <w:pPr>
              <w:pStyle w:val="Compact"/>
              <w:jc w:val="left"/>
            </w:pPr>
            <w:r>
              <w:t xml:space="preserve">现状</w:t>
            </w:r>
          </w:p>
        </w:tc>
        <w:tc>
          <w:tcPr/>
          <w:p>
            <w:pPr>
              <w:pStyle w:val="Compact"/>
              <w:jc w:val="left"/>
            </w:pPr>
            <w:r>
              <w:t xml:space="preserve">预期</w:t>
            </w:r>
          </w:p>
        </w:tc>
      </w:tr>
      <w:tr>
        <w:tc>
          <w:tcPr/>
          <w:p>
            <w:pPr>
              <w:pStyle w:val="Compact"/>
              <w:jc w:val="left"/>
            </w:pPr>
            <w:r>
              <w:t xml:space="preserve">AI芯片</w:t>
            </w:r>
          </w:p>
        </w:tc>
        <w:tc>
          <w:tcPr/>
          <w:p>
            <w:pPr>
              <w:pStyle w:val="Compact"/>
              <w:jc w:val="left"/>
            </w:pPr>
            <w:r>
              <w:t xml:space="preserve">H200逐案审查，Blackwell禁止</w:t>
            </w:r>
          </w:p>
        </w:tc>
        <w:tc>
          <w:tcPr/>
          <w:p>
            <w:pPr>
              <w:pStyle w:val="Compact"/>
              <w:jc w:val="left"/>
            </w:pPr>
            <w:r>
              <w:t xml:space="preserve">国会可能立法收紧</w:t>
            </w:r>
          </w:p>
        </w:tc>
      </w:tr>
      <w:tr>
        <w:tc>
          <w:tcPr/>
          <w:p>
            <w:pPr>
              <w:pStyle w:val="Compact"/>
              <w:jc w:val="left"/>
            </w:pPr>
            <w:r>
              <w:t xml:space="preserve">半导体设备</w:t>
            </w:r>
          </w:p>
        </w:tc>
        <w:tc>
          <w:tcPr/>
          <w:p>
            <w:pPr>
              <w:pStyle w:val="Compact"/>
              <w:jc w:val="left"/>
            </w:pPr>
            <w:r>
              <w:t xml:space="preserve">24种设备新增管制</w:t>
            </w:r>
          </w:p>
        </w:tc>
        <w:tc>
          <w:tcPr/>
          <w:p>
            <w:pPr>
              <w:pStyle w:val="Compact"/>
              <w:jc w:val="left"/>
            </w:pPr>
            <w:r>
              <w:t xml:space="preserve">DUV浸没式光刻机可能全面禁止</w:t>
            </w:r>
          </w:p>
        </w:tc>
      </w:tr>
      <w:tr>
        <w:tc>
          <w:tcPr/>
          <w:p>
            <w:pPr>
              <w:pStyle w:val="Compact"/>
              <w:jc w:val="left"/>
            </w:pPr>
            <w:r>
              <w:t xml:space="preserve">EDA软件</w:t>
            </w:r>
          </w:p>
        </w:tc>
        <w:tc>
          <w:tcPr/>
          <w:p>
            <w:pPr>
              <w:pStyle w:val="Compact"/>
              <w:jc w:val="left"/>
            </w:pPr>
            <w:r>
              <w:t xml:space="preserve">新增管制</w:t>
            </w:r>
          </w:p>
        </w:tc>
        <w:tc>
          <w:tcPr/>
          <w:p>
            <w:pPr>
              <w:pStyle w:val="Compact"/>
              <w:jc w:val="left"/>
            </w:pPr>
            <w:r>
              <w:t xml:space="preserve">持续收紧</w:t>
            </w:r>
          </w:p>
        </w:tc>
      </w:tr>
      <w:tr>
        <w:tc>
          <w:tcPr/>
          <w:p>
            <w:pPr>
              <w:pStyle w:val="Compact"/>
              <w:jc w:val="left"/>
            </w:pPr>
            <w:r>
              <w:t xml:space="preserve">生物技术</w:t>
            </w:r>
          </w:p>
        </w:tc>
        <w:tc>
          <w:tcPr/>
          <w:p>
            <w:pPr>
              <w:pStyle w:val="Compact"/>
              <w:jc w:val="left"/>
            </w:pPr>
            <w:r>
              <w:t xml:space="preserve">Biosecure Act通过</w:t>
            </w:r>
          </w:p>
        </w:tc>
        <w:tc>
          <w:tcPr/>
          <w:p>
            <w:pPr>
              <w:pStyle w:val="Compact"/>
              <w:jc w:val="left"/>
            </w:pPr>
            <w:r>
              <w:t xml:space="preserve">2028年中期生效</w:t>
            </w:r>
          </w:p>
        </w:tc>
      </w:tr>
    </w:tbl>
    <w:p>
      <w:r>
        <w:pict>
          <v:rect style="width:0;height:1.5pt" o:hralign="center" o:hrstd="t" o:hr="t"/>
        </w:pict>
      </w:r>
    </w:p>
    <w:bookmarkEnd w:id="38"/>
    <w:bookmarkEnd w:id="39"/>
    <w:bookmarkStart w:id="40" w:name="今日关注"/>
    <w:p>
      <w:pPr>
        <w:pStyle w:val="Heading2"/>
      </w:pPr>
      <w:r>
        <w:t xml:space="preserve">5) 今日关注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时间</w:t>
            </w:r>
          </w:p>
        </w:tc>
        <w:tc>
          <w:tcPr/>
          <w:p>
            <w:pPr>
              <w:pStyle w:val="Compact"/>
              <w:jc w:val="left"/>
            </w:pPr>
            <w:r>
              <w:t xml:space="preserve">事件</w:t>
            </w:r>
          </w:p>
        </w:tc>
        <w:tc>
          <w:tcPr/>
          <w:p>
            <w:pPr>
              <w:pStyle w:val="Compact"/>
              <w:jc w:val="left"/>
            </w:pPr>
            <w:r>
              <w:t xml:space="preserve">重要性</w:t>
            </w:r>
          </w:p>
        </w:tc>
      </w:tr>
      <w:tr>
        <w:tc>
          <w:tcPr/>
          <w:p>
            <w:pPr>
              <w:pStyle w:val="Compact"/>
              <w:jc w:val="left"/>
            </w:pPr>
            <w:r>
              <w:t xml:space="preserve">全天</w:t>
            </w:r>
          </w:p>
        </w:tc>
        <w:tc>
          <w:tcPr/>
          <w:p>
            <w:pPr>
              <w:pStyle w:val="Compact"/>
              <w:jc w:val="left"/>
            </w:pPr>
            <w:r>
              <w:t xml:space="preserve">美国国会是否就Section 122关税延长进行辩论</w:t>
            </w:r>
          </w:p>
        </w:tc>
        <w:tc>
          <w:tcPr/>
          <w:p>
            <w:pPr>
              <w:pStyle w:val="Compact"/>
              <w:jc w:val="left"/>
            </w:pPr>
            <w:r>
              <w:t xml:space="preserve">⭐⭐⭐</w:t>
            </w:r>
          </w:p>
        </w:tc>
      </w:tr>
      <w:tr>
        <w:tc>
          <w:tcPr/>
          <w:p>
            <w:pPr>
              <w:pStyle w:val="Compact"/>
              <w:jc w:val="left"/>
            </w:pPr>
            <w:r>
              <w:t xml:space="preserve">待定</w:t>
            </w:r>
          </w:p>
        </w:tc>
        <w:tc>
          <w:tcPr/>
          <w:p>
            <w:pPr>
              <w:pStyle w:val="Compact"/>
              <w:jc w:val="left"/>
            </w:pPr>
            <w:r>
              <w:t xml:space="preserve">中国是否回应15%全球关税</w:t>
            </w:r>
          </w:p>
        </w:tc>
        <w:tc>
          <w:tcPr/>
          <w:p>
            <w:pPr>
              <w:pStyle w:val="Compact"/>
              <w:jc w:val="left"/>
            </w:pPr>
            <w:r>
              <w:t xml:space="preserve">⭐⭐⭐</w:t>
            </w:r>
          </w:p>
        </w:tc>
      </w:tr>
      <w:tr>
        <w:tc>
          <w:tcPr/>
          <w:p>
            <w:pPr>
              <w:pStyle w:val="Compact"/>
              <w:jc w:val="left"/>
            </w:pPr>
            <w:r>
              <w:t xml:space="preserve">待定</w:t>
            </w:r>
          </w:p>
        </w:tc>
        <w:tc>
          <w:tcPr/>
          <w:p>
            <w:pPr>
              <w:pStyle w:val="Compact"/>
              <w:jc w:val="left"/>
            </w:pPr>
            <w:r>
              <w:t xml:space="preserve">AI OVERWATCH法案众议院全院投票时间表</w:t>
            </w:r>
          </w:p>
        </w:tc>
        <w:tc>
          <w:tcPr/>
          <w:p>
            <w:pPr>
              <w:pStyle w:val="Compact"/>
              <w:jc w:val="left"/>
            </w:pPr>
            <w:r>
              <w:t xml:space="preserve">⭐⭐</w:t>
            </w:r>
          </w:p>
        </w:tc>
      </w:tr>
      <w:tr>
        <w:tc>
          <w:tcPr/>
          <w:p>
            <w:pPr>
              <w:pStyle w:val="Compact"/>
              <w:jc w:val="left"/>
            </w:pPr>
            <w:r>
              <w:t xml:space="preserve">持续</w:t>
            </w:r>
          </w:p>
        </w:tc>
        <w:tc>
          <w:tcPr/>
          <w:p>
            <w:pPr>
              <w:pStyle w:val="Compact"/>
              <w:jc w:val="left"/>
            </w:pPr>
            <w:r>
              <w:t xml:space="preserve">稀土出口许可审批进展</w:t>
            </w:r>
          </w:p>
        </w:tc>
        <w:tc>
          <w:tcPr/>
          <w:p>
            <w:pPr>
              <w:pStyle w:val="Compact"/>
              <w:jc w:val="left"/>
            </w:pPr>
            <w:r>
              <w:t xml:space="preserve">⭐⭐</w:t>
            </w:r>
          </w:p>
        </w:tc>
      </w:tr>
    </w:tbl>
    <w:p>
      <w:r>
        <w:pict>
          <v:rect style="width:0;height:1.5pt" o:hralign="center" o:hrstd="t" o:hr="t"/>
        </w:pict>
      </w:r>
    </w:p>
    <w:bookmarkEnd w:id="40"/>
    <w:bookmarkStart w:id="43" w:name="走势研判"/>
    <w:p>
      <w:pPr>
        <w:pStyle w:val="Heading2"/>
      </w:pPr>
      <w:r>
        <w:t xml:space="preserve">6) 走势研判</w:t>
      </w:r>
    </w:p>
    <w:bookmarkStart w:id="41" w:name="短期1-4周"/>
    <w:p>
      <w:pPr>
        <w:pStyle w:val="Heading3"/>
      </w:pPr>
      <w:r>
        <w:t xml:space="preserve">短期（1-4周）</w:t>
      </w:r>
    </w:p>
    <w:p>
      <w:pPr>
        <w:pStyle w:val="FirstParagraph"/>
      </w:pPr>
      <w:r>
        <w:rPr>
          <w:bCs/>
          <w:b/>
        </w:rPr>
        <w:t xml:space="preserve">贸易领域</w:t>
      </w:r>
      <w:r>
        <w:t xml:space="preserve">:</w:t>
      </w:r>
      <w:r>
        <w:br/>
      </w:r>
      <w:r>
        <w:t xml:space="preserve">- Section 122关税将在150天内维持，国会是否批准延长存在不确定性</w:t>
      </w:r>
      <w:r>
        <w:t xml:space="preserve"> </w:t>
      </w:r>
      <w:r>
        <w:t xml:space="preserve">- 特朗普政府可能寻求其他法律依据（Section 232、Section 301）维持高关税</w:t>
      </w:r>
    </w:p>
    <w:p>
      <w:pPr>
        <w:pStyle w:val="BodyText"/>
      </w:pPr>
      <w:r>
        <w:rPr>
          <w:bCs/>
          <w:b/>
        </w:rPr>
        <w:t xml:space="preserve">科技领域</w:t>
      </w:r>
      <w:r>
        <w:t xml:space="preserve">:</w:t>
      </w:r>
      <w:r>
        <w:br/>
      </w:r>
      <w:r>
        <w:t xml:space="preserve">- AI OVERWATCH法案可能快速推进，H200出口政策面临被推翻风险</w:t>
      </w:r>
      <w:r>
        <w:t xml:space="preserve"> </w:t>
      </w:r>
      <w:r>
        <w:t xml:space="preserve">- 中国可能扩大对美国芯片的反制措施</w:t>
      </w:r>
    </w:p>
    <w:p>
      <w:pPr>
        <w:pStyle w:val="BodyText"/>
      </w:pPr>
      <w:r>
        <w:rPr>
          <w:bCs/>
          <w:b/>
        </w:rPr>
        <w:t xml:space="preserve">地缘领域</w:t>
      </w:r>
      <w:r>
        <w:t xml:space="preserve">:</w:t>
      </w:r>
      <w:r>
        <w:br/>
      </w:r>
      <w:r>
        <w:t xml:space="preserve">- 台海军事活动预计维持高强度</w:t>
      </w:r>
      <w:r>
        <w:t xml:space="preserve"> </w:t>
      </w:r>
      <w:r>
        <w:t xml:space="preserve">- 美日韩三边合作可能发布新的联合声明</w:t>
      </w:r>
    </w:p>
    <w:bookmarkEnd w:id="41"/>
    <w:bookmarkStart w:id="42" w:name="中期1-6个月"/>
    <w:p>
      <w:pPr>
        <w:pStyle w:val="Heading3"/>
      </w:pPr>
      <w:r>
        <w:t xml:space="preserve">中期（1-6个月）</w:t>
      </w:r>
    </w:p>
    <w:p>
      <w:pPr>
        <w:pStyle w:val="FirstParagraph"/>
      </w:pPr>
      <w:r>
        <w:rPr>
          <w:bCs/>
          <w:b/>
        </w:rPr>
        <w:t xml:space="preserve">贸易领域</w:t>
      </w:r>
      <w:r>
        <w:t xml:space="preserve">:</w:t>
      </w:r>
      <w:r>
        <w:br/>
      </w:r>
      <w:r>
        <w:t xml:space="preserve">- 若国会拒绝延长Section 122，关税税率可能显著下降</w:t>
      </w:r>
      <w:r>
        <w:t xml:space="preserve"> </w:t>
      </w:r>
      <w:r>
        <w:t xml:space="preserve">- 中美可能重启贸易谈判，但全面协议难度较大</w:t>
      </w:r>
    </w:p>
    <w:p>
      <w:pPr>
        <w:pStyle w:val="BodyText"/>
      </w:pPr>
      <w:r>
        <w:rPr>
          <w:bCs/>
          <w:b/>
        </w:rPr>
        <w:t xml:space="preserve">科技领域</w:t>
      </w:r>
      <w:r>
        <w:t xml:space="preserve">:</w:t>
      </w:r>
      <w:r>
        <w:br/>
      </w:r>
      <w:r>
        <w:t xml:space="preserve">- AI芯片出口管制可能立法化，减少行政裁量空间</w:t>
      </w:r>
      <w:r>
        <w:t xml:space="preserve"> </w:t>
      </w:r>
      <w:r>
        <w:t xml:space="preserve">- 中国稀土管制一年暂停期结束后可能恢复</w:t>
      </w:r>
    </w:p>
    <w:p>
      <w:pPr>
        <w:pStyle w:val="BodyText"/>
      </w:pPr>
      <w:r>
        <w:rPr>
          <w:bCs/>
          <w:b/>
        </w:rPr>
        <w:t xml:space="preserve">地缘领域</w:t>
      </w:r>
      <w:r>
        <w:t xml:space="preserve">:</w:t>
      </w:r>
      <w:r>
        <w:br/>
      </w:r>
      <w:r>
        <w:t xml:space="preserve">-</w:t>
      </w:r>
      <w:r>
        <w:t xml:space="preserve"> </w:t>
      </w:r>
      <w:r>
        <w:t xml:space="preserve">“</w:t>
      </w:r>
      <w:r>
        <w:t xml:space="preserve">戴维森窗口</w:t>
      </w:r>
      <w:r>
        <w:t xml:space="preserve">”</w:t>
      </w:r>
      <w:r>
        <w:t xml:space="preserve">（2027年）临近，美军备战节奏加快</w:t>
      </w:r>
      <w:r>
        <w:t xml:space="preserve"> </w:t>
      </w:r>
      <w:r>
        <w:t xml:space="preserve">- AUKUS核潜艇项目进入关键阶段</w:t>
      </w:r>
    </w:p>
    <w:p>
      <w:r>
        <w:pict>
          <v:rect style="width:0;height:1.5pt" o:hralign="center" o:hrstd="t" o:hr="t"/>
        </w:pict>
      </w:r>
    </w:p>
    <w:bookmarkEnd w:id="42"/>
    <w:bookmarkEnd w:id="43"/>
    <w:bookmarkStart w:id="44" w:name="数据源健康监控"/>
    <w:p>
      <w:pPr>
        <w:pStyle w:val="Heading2"/>
      </w:pPr>
      <w:r>
        <w:t xml:space="preserve">7) 数据源健康监控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数据源类别</w:t>
            </w:r>
          </w:p>
        </w:tc>
        <w:tc>
          <w:tcPr/>
          <w:p>
            <w:pPr>
              <w:pStyle w:val="Compact"/>
              <w:jc w:val="left"/>
            </w:pPr>
            <w:r>
              <w:t xml:space="preserve">可用性</w:t>
            </w:r>
          </w:p>
        </w:tc>
        <w:tc>
          <w:tcPr/>
          <w:p>
            <w:pPr>
              <w:pStyle w:val="Compact"/>
              <w:jc w:val="left"/>
            </w:pPr>
            <w:r>
              <w:t xml:space="preserve">状态</w:t>
            </w:r>
          </w:p>
        </w:tc>
      </w:tr>
      <w:tr>
        <w:tc>
          <w:tcPr/>
          <w:p>
            <w:pPr>
              <w:pStyle w:val="Compact"/>
              <w:jc w:val="left"/>
            </w:pPr>
            <w:r>
              <w:t xml:space="preserve">White House Presidential Actions</w:t>
            </w:r>
          </w:p>
        </w:tc>
        <w:tc>
          <w:tcPr/>
          <w:p>
            <w:pPr>
              <w:pStyle w:val="Compact"/>
              <w:jc w:val="left"/>
            </w:pPr>
            <w:r>
              <w:t xml:space="preserve">100%</w:t>
            </w:r>
          </w:p>
        </w:tc>
        <w:tc>
          <w:tcPr/>
          <w:p>
            <w:pPr>
              <w:pStyle w:val="Compact"/>
              <w:jc w:val="left"/>
            </w:pPr>
            <w:r>
              <w:t xml:space="preserve">✅ 正常</w:t>
            </w:r>
          </w:p>
        </w:tc>
      </w:tr>
      <w:tr>
        <w:tc>
          <w:tcPr/>
          <w:p>
            <w:pPr>
              <w:pStyle w:val="Compact"/>
              <w:jc w:val="left"/>
            </w:pPr>
            <w:r>
              <w:t xml:space="preserve">USTR Press Releases</w:t>
            </w:r>
          </w:p>
        </w:tc>
        <w:tc>
          <w:tcPr/>
          <w:p>
            <w:pPr>
              <w:pStyle w:val="Compact"/>
              <w:jc w:val="left"/>
            </w:pPr>
            <w:r>
              <w:t xml:space="preserve">100%</w:t>
            </w:r>
          </w:p>
        </w:tc>
        <w:tc>
          <w:tcPr/>
          <w:p>
            <w:pPr>
              <w:pStyle w:val="Compact"/>
              <w:jc w:val="left"/>
            </w:pPr>
            <w:r>
              <w:t xml:space="preserve">✅ 正常</w:t>
            </w:r>
          </w:p>
        </w:tc>
      </w:tr>
      <w:tr>
        <w:tc>
          <w:tcPr/>
          <w:p>
            <w:pPr>
              <w:pStyle w:val="Compact"/>
              <w:jc w:val="left"/>
            </w:pPr>
            <w:r>
              <w:t xml:space="preserve">BIS Federal Register</w:t>
            </w:r>
          </w:p>
        </w:tc>
        <w:tc>
          <w:tcPr/>
          <w:p>
            <w:pPr>
              <w:pStyle w:val="Compact"/>
              <w:jc w:val="left"/>
            </w:pPr>
            <w:r>
              <w:t xml:space="preserve">100%</w:t>
            </w:r>
          </w:p>
        </w:tc>
        <w:tc>
          <w:tcPr/>
          <w:p>
            <w:pPr>
              <w:pStyle w:val="Compact"/>
              <w:jc w:val="left"/>
            </w:pPr>
            <w:r>
              <w:t xml:space="preserve">✅ 正常</w:t>
            </w:r>
          </w:p>
        </w:tc>
      </w:tr>
      <w:tr>
        <w:tc>
          <w:tcPr/>
          <w:p>
            <w:pPr>
              <w:pStyle w:val="Compact"/>
              <w:jc w:val="left"/>
            </w:pPr>
            <w:r>
              <w:t xml:space="preserve">Treasury/OFAC</w:t>
            </w:r>
          </w:p>
        </w:tc>
        <w:tc>
          <w:tcPr/>
          <w:p>
            <w:pPr>
              <w:pStyle w:val="Compact"/>
              <w:jc w:val="left"/>
            </w:pPr>
            <w:r>
              <w:t xml:space="preserve">100%</w:t>
            </w:r>
          </w:p>
        </w:tc>
        <w:tc>
          <w:tcPr/>
          <w:p>
            <w:pPr>
              <w:pStyle w:val="Compact"/>
              <w:jc w:val="left"/>
            </w:pPr>
            <w:r>
              <w:t xml:space="preserve">✅ 正常</w:t>
            </w:r>
          </w:p>
        </w:tc>
      </w:tr>
      <w:tr>
        <w:tc>
          <w:tcPr/>
          <w:p>
            <w:pPr>
              <w:pStyle w:val="Compact"/>
              <w:jc w:val="left"/>
            </w:pPr>
            <w:r>
              <w:t xml:space="preserve">DoD/INDOPACOM</w:t>
            </w:r>
          </w:p>
        </w:tc>
        <w:tc>
          <w:tcPr/>
          <w:p>
            <w:pPr>
              <w:pStyle w:val="Compact"/>
              <w:jc w:val="left"/>
            </w:pPr>
            <w:r>
              <w:t xml:space="preserve">100%</w:t>
            </w:r>
          </w:p>
        </w:tc>
        <w:tc>
          <w:tcPr/>
          <w:p>
            <w:pPr>
              <w:pStyle w:val="Compact"/>
              <w:jc w:val="left"/>
            </w:pPr>
            <w:r>
              <w:t xml:space="preserve">✅ 正常</w:t>
            </w:r>
          </w:p>
        </w:tc>
      </w:tr>
      <w:tr>
        <w:tc>
          <w:tcPr/>
          <w:p>
            <w:pPr>
              <w:pStyle w:val="Compact"/>
              <w:jc w:val="left"/>
            </w:pPr>
            <w:r>
              <w:t xml:space="preserve">Congress.gov</w:t>
            </w:r>
          </w:p>
        </w:tc>
        <w:tc>
          <w:tcPr/>
          <w:p>
            <w:pPr>
              <w:pStyle w:val="Compact"/>
              <w:jc w:val="left"/>
            </w:pPr>
            <w:r>
              <w:t xml:space="preserve">100%</w:t>
            </w:r>
          </w:p>
        </w:tc>
        <w:tc>
          <w:tcPr/>
          <w:p>
            <w:pPr>
              <w:pStyle w:val="Compact"/>
              <w:jc w:val="left"/>
            </w:pPr>
            <w:r>
              <w:t xml:space="preserve">✅ 正常</w:t>
            </w:r>
          </w:p>
        </w:tc>
      </w:tr>
      <w:tr>
        <w:tc>
          <w:tcPr/>
          <w:p>
            <w:pPr>
              <w:pStyle w:val="Compact"/>
              <w:jc w:val="left"/>
            </w:pPr>
            <w:r>
              <w:t xml:space="preserve">智库报告(CSIS/RAND/Brookings)</w:t>
            </w:r>
          </w:p>
        </w:tc>
        <w:tc>
          <w:tcPr/>
          <w:p>
            <w:pPr>
              <w:pStyle w:val="Compact"/>
              <w:jc w:val="left"/>
            </w:pPr>
            <w:r>
              <w:t xml:space="preserve">95%</w:t>
            </w:r>
          </w:p>
        </w:tc>
        <w:tc>
          <w:tcPr/>
          <w:p>
            <w:pPr>
              <w:pStyle w:val="Compact"/>
              <w:jc w:val="left"/>
            </w:pPr>
            <w:r>
              <w:t xml:space="preserve">✅ 正常</w:t>
            </w:r>
          </w:p>
        </w:tc>
      </w:tr>
      <w:tr>
        <w:tc>
          <w:tcPr/>
          <w:p>
            <w:pPr>
              <w:pStyle w:val="Compact"/>
              <w:jc w:val="left"/>
            </w:pPr>
            <w:r>
              <w:t xml:space="preserve">新闻源(Reuters/Bloomberg/SCMP)</w:t>
            </w:r>
          </w:p>
        </w:tc>
        <w:tc>
          <w:tcPr/>
          <w:p>
            <w:pPr>
              <w:pStyle w:val="Compact"/>
              <w:jc w:val="left"/>
            </w:pPr>
            <w:r>
              <w:t xml:space="preserve">100%</w:t>
            </w:r>
          </w:p>
        </w:tc>
        <w:tc>
          <w:tcPr/>
          <w:p>
            <w:pPr>
              <w:pStyle w:val="Compact"/>
              <w:jc w:val="left"/>
            </w:pPr>
            <w:r>
              <w:t xml:space="preserve">✅ 正常</w:t>
            </w:r>
          </w:p>
        </w:tc>
      </w:tr>
    </w:tbl>
    <w:p>
      <w:pPr>
        <w:pStyle w:val="BodyText"/>
      </w:pPr>
      <w:r>
        <w:rPr>
          <w:bCs/>
          <w:b/>
        </w:rPr>
        <w:t xml:space="preserve">整体数据源可用性</w:t>
      </w:r>
      <w:r>
        <w:t xml:space="preserve">:</w:t>
      </w:r>
      <w:r>
        <w:t xml:space="preserve"> </w:t>
      </w:r>
      <w:r>
        <w:rPr>
          <w:bCs/>
          <w:b/>
        </w:rPr>
        <w:t xml:space="preserve">99%</w:t>
      </w:r>
    </w:p>
    <w:p>
      <w:r>
        <w:pict>
          <v:rect style="width:0;height:1.5pt" o:hralign="center" o:hrstd="t" o:hr="t"/>
        </w:pict>
      </w:r>
    </w:p>
    <w:bookmarkEnd w:id="44"/>
    <w:bookmarkStart w:id="49" w:name="智库报告监控"/>
    <w:p>
      <w:pPr>
        <w:pStyle w:val="Heading2"/>
      </w:pPr>
      <w:r>
        <w:t xml:space="preserve">8) 智库报告监控</w:t>
      </w:r>
    </w:p>
    <w:bookmarkStart w:id="45" w:name="csis战略与国际研究中心"/>
    <w:p>
      <w:pPr>
        <w:pStyle w:val="Heading3"/>
      </w:pPr>
      <w:r>
        <w:t xml:space="preserve">CSIS（战略与国际研究中心）</w:t>
      </w:r>
    </w:p>
    <w:p>
      <w:pPr>
        <w:pStyle w:val="FirstParagraph"/>
      </w:pPr>
      <w:r>
        <w:rPr>
          <w:bCs/>
          <w:b/>
        </w:rPr>
        <w:t xml:space="preserve">最新报告</w:t>
      </w:r>
      <w:r>
        <w:t xml:space="preserve">:</w:t>
      </w:r>
      <w:r>
        <w:t xml:space="preserve"> </w:t>
      </w:r>
      <w:r>
        <w:t xml:space="preserve">“</w:t>
      </w:r>
      <w:r>
        <w:t xml:space="preserve">Advancing U.S.-China Coordination amid Strategic Competition</w:t>
      </w:r>
      <w:r>
        <w:t xml:space="preserve">”</w:t>
      </w:r>
      <w:r>
        <w:t xml:space="preserve"> </w:t>
      </w:r>
      <w:r>
        <w:t xml:space="preserve">(2025-01-15)</w:t>
      </w:r>
    </w:p>
    <w:p>
      <w:pPr>
        <w:pStyle w:val="BodyText"/>
      </w:pPr>
      <w:r>
        <w:rPr>
          <w:bCs/>
          <w:b/>
        </w:rPr>
        <w:t xml:space="preserve">核心观点</w:t>
      </w:r>
      <w:r>
        <w:t xml:space="preserve">:</w:t>
      </w:r>
      <w:r>
        <w:t xml:space="preserve"> </w:t>
      </w:r>
      <w:r>
        <w:t xml:space="preserve">- 即使在激烈竞争中，美中仍需在气候变化、粮食安全等议题上协调</w:t>
      </w:r>
      <w:r>
        <w:t xml:space="preserve"> </w:t>
      </w:r>
      <w:r>
        <w:t xml:space="preserve">- 建议通过Track 2对话探索合作空间</w:t>
      </w:r>
      <w:r>
        <w:t xml:space="preserve"> </w:t>
      </w:r>
      <w:r>
        <w:t xml:space="preserve">- 强调”竞争中的协调”概念需正常化</w:t>
      </w:r>
    </w:p>
    <w:bookmarkEnd w:id="45"/>
    <w:bookmarkStart w:id="46" w:name="rand-corporation"/>
    <w:p>
      <w:pPr>
        <w:pStyle w:val="Heading3"/>
      </w:pPr>
      <w:r>
        <w:t xml:space="preserve">RAND Corporation</w:t>
      </w:r>
    </w:p>
    <w:p>
      <w:pPr>
        <w:pStyle w:val="FirstParagraph"/>
      </w:pPr>
      <w:r>
        <w:rPr>
          <w:bCs/>
          <w:b/>
        </w:rPr>
        <w:t xml:space="preserve">最新报告</w:t>
      </w:r>
      <w:r>
        <w:t xml:space="preserve">:</w:t>
      </w:r>
      <w:r>
        <w:t xml:space="preserve"> </w:t>
      </w:r>
      <w:r>
        <w:t xml:space="preserve">“</w:t>
      </w:r>
      <w:r>
        <w:t xml:space="preserve">Economic Deterrence in a China Contingency</w:t>
      </w:r>
      <w:r>
        <w:t xml:space="preserve">”</w:t>
      </w:r>
      <w:r>
        <w:t xml:space="preserve"> </w:t>
      </w:r>
      <w:r>
        <w:t xml:space="preserve">(2025)</w:t>
      </w:r>
    </w:p>
    <w:p>
      <w:pPr>
        <w:pStyle w:val="BodyText"/>
      </w:pPr>
      <w:r>
        <w:rPr>
          <w:bCs/>
          <w:b/>
        </w:rPr>
        <w:t xml:space="preserve">核心观点</w:t>
      </w:r>
      <w:r>
        <w:t xml:space="preserve">:</w:t>
      </w:r>
      <w:r>
        <w:t xml:space="preserve"> </w:t>
      </w:r>
      <w:r>
        <w:t xml:space="preserve">- 分析对中国潜在军事行动的经济威慑工具</w:t>
      </w:r>
      <w:r>
        <w:t xml:space="preserve"> </w:t>
      </w:r>
      <w:r>
        <w:t xml:space="preserve">- 评估制裁、出口管制、投资限制的有效性</w:t>
      </w:r>
      <w:r>
        <w:t xml:space="preserve"> </w:t>
      </w:r>
      <w:r>
        <w:t xml:space="preserve">- 建议加强与盟友协调</w:t>
      </w:r>
    </w:p>
    <w:bookmarkEnd w:id="46"/>
    <w:bookmarkStart w:id="47" w:name="brookings-institution"/>
    <w:p>
      <w:pPr>
        <w:pStyle w:val="Heading3"/>
      </w:pPr>
      <w:r>
        <w:t xml:space="preserve">Brookings Institution</w:t>
      </w:r>
    </w:p>
    <w:p>
      <w:pPr>
        <w:pStyle w:val="FirstParagraph"/>
      </w:pPr>
      <w:r>
        <w:rPr>
          <w:bCs/>
          <w:b/>
        </w:rPr>
        <w:t xml:space="preserve">最新报告</w:t>
      </w:r>
      <w:r>
        <w:t xml:space="preserve">: 多位专家就最高法院关税裁决发表评论 (2026-02-24)</w:t>
      </w:r>
    </w:p>
    <w:p>
      <w:pPr>
        <w:pStyle w:val="BodyText"/>
      </w:pPr>
      <w:r>
        <w:rPr>
          <w:bCs/>
          <w:b/>
        </w:rPr>
        <w:t xml:space="preserve">核心观点</w:t>
      </w:r>
      <w:r>
        <w:t xml:space="preserve">:</w:t>
      </w:r>
      <w:r>
        <w:t xml:space="preserve"> </w:t>
      </w:r>
      <w:r>
        <w:t xml:space="preserve">- 裁决确认国会征税权，限制行政权力扩张</w:t>
      </w:r>
      <w:r>
        <w:t xml:space="preserve"> </w:t>
      </w:r>
      <w:r>
        <w:t xml:space="preserve">- 但其他贸易法律工具（Section 232、Section 301）仍然可用</w:t>
      </w:r>
      <w:r>
        <w:t xml:space="preserve"> </w:t>
      </w:r>
      <w:r>
        <w:t xml:space="preserve">- 贸易政策不确定性将持续</w:t>
      </w:r>
    </w:p>
    <w:bookmarkEnd w:id="47"/>
    <w:bookmarkStart w:id="48" w:name="institute-for-progress-ifp"/>
    <w:p>
      <w:pPr>
        <w:pStyle w:val="Heading3"/>
      </w:pPr>
      <w:r>
        <w:t xml:space="preserve">Institute for Progress (IFP)</w:t>
      </w:r>
    </w:p>
    <w:p>
      <w:pPr>
        <w:pStyle w:val="FirstParagraph"/>
      </w:pPr>
      <w:r>
        <w:rPr>
          <w:bCs/>
          <w:b/>
        </w:rPr>
        <w:t xml:space="preserve">最新报告</w:t>
      </w:r>
      <w:r>
        <w:t xml:space="preserve">:</w:t>
      </w:r>
      <w:r>
        <w:t xml:space="preserve"> </w:t>
      </w:r>
      <w:r>
        <w:t xml:space="preserve">“</w:t>
      </w:r>
      <w:r>
        <w:t xml:space="preserve">Should the US Sell Blackwell Chips to China?</w:t>
      </w:r>
      <w:r>
        <w:t xml:space="preserve">”</w:t>
      </w:r>
      <w:r>
        <w:t xml:space="preserve"> </w:t>
      </w:r>
      <w:r>
        <w:t xml:space="preserve">(2025-10-25)</w:t>
      </w:r>
    </w:p>
    <w:p>
      <w:pPr>
        <w:pStyle w:val="BodyText"/>
      </w:pPr>
      <w:r>
        <w:rPr>
          <w:bCs/>
          <w:b/>
        </w:rPr>
        <w:t xml:space="preserve">核心观点</w:t>
      </w:r>
      <w:r>
        <w:t xml:space="preserve">:</w:t>
      </w:r>
      <w:r>
        <w:t xml:space="preserve"> </w:t>
      </w:r>
      <w:r>
        <w:t xml:space="preserve">- 若B30A芯片获准对华出口，美国AI算力优势将从31倍降至4倍</w:t>
      </w:r>
      <w:r>
        <w:t xml:space="preserve"> </w:t>
      </w:r>
      <w:r>
        <w:t xml:space="preserve">- 建议收紧DUV光刻机出口，而非放宽AI芯片管制</w:t>
      </w:r>
      <w:r>
        <w:t xml:space="preserve"> </w:t>
      </w:r>
      <w:r>
        <w:t xml:space="preserve">- 华为产能瓶颈在于制造设备和HBM，而非设计能力</w:t>
      </w:r>
    </w:p>
    <w:p>
      <w:r>
        <w:pict>
          <v:rect style="width:0;height:1.5pt" o:hralign="center" o:hrstd="t" o:hr="t"/>
        </w:pict>
      </w:r>
    </w:p>
    <w:p>
      <w:pPr>
        <w:pStyle w:val="FirstParagraph"/>
      </w:pPr>
      <w:r>
        <w:rPr>
          <w:bCs/>
          <w:b/>
        </w:rPr>
        <w:t xml:space="preserve">报告结束</w:t>
      </w:r>
    </w:p>
    <w:p>
      <w:pPr>
        <w:pStyle w:val="BodyText"/>
      </w:pPr>
      <w:r>
        <w:rPr>
          <w:iCs/>
          <w:i/>
        </w:rPr>
        <w:t xml:space="preserve">本报告基于公开信息编制，仅供情报分析参考。</w:t>
      </w:r>
      <w:r>
        <w:br/>
      </w:r>
      <w:r>
        <w:rPr>
          <w:iCs/>
          <w:i/>
        </w:rPr>
        <w:t xml:space="preserve">下次报告: 2026年2月26日 07:00</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2026-02-24T23:06:33Z</dcterms:created>
  <dcterms:modified xsi:type="dcterms:W3CDTF">2026-02-24T23:06:33Z</dcterms:modified>
</cp:coreProperties>
</file>

<file path=docProps/custom.xml><?xml version="1.0" encoding="utf-8"?>
<Properties xmlns="http://schemas.openxmlformats.org/officeDocument/2006/custom-properties" xmlns:vt="http://schemas.openxmlformats.org/officeDocument/2006/docPropsVTypes"/>
</file>