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50" w:before="0"/>
      </w:pPr>
      <w:r>
        <w:rPr>
          <w:rFonts w:ascii="Calibri" w:cs="Calibri" w:eastAsia="Calibri" w:hAnsi="Calibri"/>
          <w:b/>
          <w:bCs/>
          <w:color w:val="1F4E79"/>
          <w:sz w:val="38"/>
          <w:szCs w:val="38"/>
        </w:rPr>
        <w:t xml:space="preserve">Közbeszerzési szakmai tananyag</w:t>
      </w:r>
    </w:p>
    <w:p>
      <w:pPr>
        <w:spacing w:after="50" w:before="0"/>
      </w:pPr>
      <w:r>
        <w:rPr>
          <w:rFonts w:ascii="Calibri" w:cs="Calibri" w:eastAsia="Calibri" w:hAnsi="Calibri"/>
          <w:color w:val="595959"/>
          <w:sz w:val="27"/>
          <w:szCs w:val="27"/>
        </w:rPr>
        <w:t xml:space="preserve">Videógyártási javaslat az új szerkezethez</w:t>
      </w:r>
    </w:p>
    <w:p>
      <w:pPr>
        <w:spacing w:after="220" w:before="0"/>
      </w:pPr>
      <w:r>
        <w:rPr>
          <w:rFonts w:ascii="Calibri" w:cs="Calibri" w:eastAsia="Calibri" w:hAnsi="Calibri"/>
          <w:i/>
          <w:iCs/>
          <w:color w:val="595959"/>
          <w:sz w:val="19"/>
          <w:szCs w:val="19"/>
        </w:rPr>
        <w:t xml:space="preserve">Tervezési munkaanyag belső egyeztetéshez · 2026. július 2. · 1. változat</w:t>
      </w:r>
    </w:p>
    <w:p>
      <w:pPr>
        <w:spacing w:after="200" w:before="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Kiindulópont: </w:t>
      </w:r>
      <w:r>
        <w:rPr>
          <w:rFonts w:ascii="Calibri" w:cs="Calibri" w:eastAsia="Calibri" w:hAnsi="Calibri"/>
          <w:sz w:val="21"/>
          <w:szCs w:val="21"/>
        </w:rPr>
        <w:t xml:space="preserve">a videó a legdrágábban gyártható és legdrágábban karbantartható tartalomtípus a kurzusban, ezért oda érdemes tenni, ahol a legtöbbet hozza: a folyamat-jellegű, sok lépéses EKR-műveletekhez és a motivációhoz. A jogi törzsanyaghoz kifejezetten nem javasolt. A javaslat összesen 5 kötelező + 1 opcionális videóval számol.</w:t>
      </w:r>
    </w:p>
    <w:p>
      <w:pPr>
        <w:pStyle w:val="Heading1"/>
        <w:spacing w:after="140" w:before="320"/>
      </w:pPr>
      <w:r>
        <w:rPr>
          <w:rFonts w:ascii="Calibri" w:cs="Calibri" w:eastAsia="Calibri" w:hAnsi="Calibri"/>
          <w:b/>
          <w:bCs/>
          <w:color w:val="1F4E79"/>
          <w:sz w:val="29"/>
          <w:szCs w:val="29"/>
        </w:rPr>
        <w:t xml:space="preserve">1. Áttekintő táblázat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2400"/>
        <w:gridCol w:w="1500"/>
        <w:gridCol w:w="1300"/>
        <w:gridCol w:w="3300"/>
      </w:tblGrid>
      <w:tr>
        <w:trPr>
          <w:tblHeader/>
        </w:trP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Prio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Videó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Lecke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Műfaj / hossz</w:t>
            </w:r>
          </w:p>
        </w:tc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Miért éri meg?</w:t>
            </w:r>
          </w:p>
        </w:tc>
      </w:tr>
      <w:t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1.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Képzésbevezető (frissítés)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Általános rész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Bemutató videó, 3–5 perc</w:t>
            </w:r>
          </w:p>
        </w:tc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Az egyetlen videó, amit a kvíz-kapu miatt minden tanuló garantáltan végignéz; az új 6 modulos szerkezetet mutatja be.</w:t>
            </w:r>
          </w:p>
        </w:tc>
      </w:tr>
      <w:t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2.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Ajánlat összeállítása és benyújtása végigjátszva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2.6–2.7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Screencast, 8–10 perc (klipekre bontva)</w:t>
            </w:r>
          </w:p>
        </w:tc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A kurzus legösszetettebb EKR-folyamata, a leggyakoribb hibák helye; a folyamat ritmusa csak videón adható át.</w:t>
            </w:r>
          </w:p>
        </w:tc>
      </w:tr>
      <w:t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3.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Hirdetményfigyelés beállítása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1.6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Screencast, 3–4 perc</w:t>
            </w:r>
          </w:p>
        </w:tc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Közvetlenül támogatja a gyakorlati feladatot; az első sikerélmény, motivációs megtérülés.</w:t>
            </w:r>
          </w:p>
        </w:tc>
      </w:tr>
      <w:t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4.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Hiánypótlás megválaszolása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3.2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Screencast, 4–5 perc</w:t>
            </w:r>
          </w:p>
        </w:tc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Éles helyzetben, határidőnyomás alatt kell alkalmazni; az AMHP/FKM választás és a „Kiküldve” státusz videón rögzül igazán.</w:t>
            </w:r>
          </w:p>
        </w:tc>
      </w:tr>
      <w:t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5.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Előzetes vitarendezési kérelem benyújtása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5.1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Screencast, 3–4 perc</w:t>
            </w:r>
          </w:p>
        </w:tc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Ritka, de nagy tétű esemény, amit a tanuló előre soha nem gyakorol – a videó pótolja a gyakorlást.</w:t>
            </w:r>
          </w:p>
        </w:tc>
      </w:tr>
      <w:t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6. (opcionális)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„Megérte belevágni” – KKV-vezetői interjú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0.1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Interjú / beszélő fejes, 2–3 perc</w:t>
            </w:r>
          </w:p>
        </w:tc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A „megéri-e?” kérdésre hitelesebb válasz egy valódi vállalkozótól, mint bármely szövegtől; EU-s projektkommunikációban is jól hasznosul.</w:t>
            </w:r>
          </w:p>
        </w:tc>
      </w:tr>
    </w:tbl>
    <w:p>
      <w:pPr>
        <w:spacing w:after="90" w:before="0"/>
      </w:pPr>
      <w:r>
        <w:rPr>
          <w:rFonts w:ascii="Calibri" w:cs="Calibri" w:eastAsia="Calibri" w:hAnsi="Calibri"/>
          <w:sz w:val="21"/>
          <w:szCs w:val="21"/>
        </w:rPr>
        <w:t xml:space="preserve"/>
      </w:r>
    </w:p>
    <w:p>
      <w:pPr>
        <w:spacing w:after="130" w:before="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Meglévő videók: </w:t>
      </w:r>
      <w:r>
        <w:rPr>
          <w:rFonts w:ascii="Calibri" w:cs="Calibri" w:eastAsia="Calibri" w:hAnsi="Calibri"/>
          <w:sz w:val="21"/>
          <w:szCs w:val="21"/>
        </w:rPr>
        <w:t xml:space="preserve">a korábbi IV.2 és IV.5 lecke bevezető videói az új 5.3 és 5.6 leckébe kerülnek át. Ha tartalmilag helytállóak, megtartandók – további leckénkénti bevezető videók gyártása azonban nem javasolt: a műfaj inflálódik, a tanulók átugorják.</w:t>
      </w:r>
    </w:p>
    <w:p>
      <w:pPr>
        <w:pStyle w:val="Heading1"/>
        <w:spacing w:after="140" w:before="320"/>
      </w:pPr>
      <w:r>
        <w:rPr>
          <w:rFonts w:ascii="Calibri" w:cs="Calibri" w:eastAsia="Calibri" w:hAnsi="Calibri"/>
          <w:b/>
          <w:bCs/>
          <w:color w:val="1F4E79"/>
          <w:sz w:val="29"/>
          <w:szCs w:val="29"/>
        </w:rPr>
        <w:t xml:space="preserve">2. Részletes indoklás</w:t>
      </w:r>
    </w:p>
    <w:p>
      <w:pPr>
        <w:pStyle w:val="Heading2"/>
        <w:spacing w:after="110" w:before="240"/>
      </w:pPr>
      <w:r>
        <w:rPr>
          <w:rFonts w:ascii="Calibri" w:cs="Calibri" w:eastAsia="Calibri" w:hAnsi="Calibri"/>
          <w:b/>
          <w:bCs/>
          <w:color w:val="1F4E79"/>
          <w:sz w:val="24"/>
          <w:szCs w:val="24"/>
        </w:rPr>
        <w:t xml:space="preserve">2.1 Képzésbevezető (frissítés) – 1. prioritás</w:t>
      </w:r>
    </w:p>
    <w:p>
      <w:pPr>
        <w:spacing w:after="130" w:before="0"/>
      </w:pPr>
      <w:r>
        <w:rPr>
          <w:rFonts w:ascii="Calibri" w:cs="Calibri" w:eastAsia="Calibri" w:hAnsi="Calibri"/>
          <w:sz w:val="21"/>
          <w:szCs w:val="21"/>
        </w:rPr>
        <w:t xml:space="preserve">Az átdolgozási terv része: a meglévő bevezető videó a régi, 4 modulos felépítést mutatja be, az új szerkezettel ez félrevezető lenne. Mivel a videót követő kvíz a továbbhaladás feltétele, ez az egyetlen tartalom, amellyel minden tanuló találkozik – itt térül meg leginkább a jó minőség. Tartalmi fókusz: a folyamatalapú logika („a közbeszerzés életútját járjuk végig”), a Fenyves Kert Kft. esettanulmány-fonál beharangozása, és a tanulási időigény reális kommunikálása.</w:t>
      </w:r>
    </w:p>
    <w:p>
      <w:pPr>
        <w:pStyle w:val="Heading2"/>
        <w:spacing w:after="110" w:before="240"/>
      </w:pPr>
      <w:r>
        <w:rPr>
          <w:rFonts w:ascii="Calibri" w:cs="Calibri" w:eastAsia="Calibri" w:hAnsi="Calibri"/>
          <w:b/>
          <w:bCs/>
          <w:color w:val="1F4E79"/>
          <w:sz w:val="24"/>
          <w:szCs w:val="24"/>
        </w:rPr>
        <w:t xml:space="preserve">2.2 Ajánlat összeállítása és benyújtása (2.6–2.7) – 2. prioritás</w:t>
      </w:r>
    </w:p>
    <w:p>
      <w:pPr>
        <w:spacing w:after="130" w:before="0"/>
      </w:pPr>
      <w:r>
        <w:rPr>
          <w:rFonts w:ascii="Calibri" w:cs="Calibri" w:eastAsia="Calibri" w:hAnsi="Calibri"/>
          <w:sz w:val="21"/>
          <w:szCs w:val="21"/>
        </w:rPr>
        <w:t xml:space="preserve">A gazdasági szereplők rögzítésétől az űrlapokon és az EEKD-n át a felolvasólapig és a benyújtásig tartó folyamat a kurzus leghosszabb, legtöbb buktatót rejtő EKR-művelete. Állóképekkel darabosan tanítható; egy megszakítás nélküli végigjátszás viszont megmutatja a lépések sorrendjét, ritmusát és az ellenőrzési pontokat („Benyújtott” státusz). Javasolt kivitel: 3–4 rövidebb klip (szereplők rögzítése / űrlapok és EEKD / feltöltés és üzletititok-nyilatkozat / benyújtás és ellenőrzés), így felületváltozásnál csak az érintett klipet kell újraforgatni. Ez a kurzus legértékesebb videója.</w:t>
      </w:r>
    </w:p>
    <w:p>
      <w:pPr>
        <w:pStyle w:val="Heading2"/>
        <w:spacing w:after="110" w:before="240"/>
      </w:pPr>
      <w:r>
        <w:rPr>
          <w:rFonts w:ascii="Calibri" w:cs="Calibri" w:eastAsia="Calibri" w:hAnsi="Calibri"/>
          <w:b/>
          <w:bCs/>
          <w:color w:val="1F4E79"/>
          <w:sz w:val="24"/>
          <w:szCs w:val="24"/>
        </w:rPr>
        <w:t xml:space="preserve">2.3 Hirdetményfigyelés beállítása (1.6) – 3. prioritás</w:t>
      </w:r>
    </w:p>
    <w:p>
      <w:pPr>
        <w:spacing w:after="130" w:before="0"/>
      </w:pPr>
      <w:r>
        <w:rPr>
          <w:rFonts w:ascii="Calibri" w:cs="Calibri" w:eastAsia="Calibri" w:hAnsi="Calibri"/>
          <w:sz w:val="21"/>
          <w:szCs w:val="21"/>
        </w:rPr>
        <w:t xml:space="preserve">Az 1.6 lecke gyakorlati feladattal zárul: a tanuló beállítja a saját hirdetményfigyelését. A screencast ezt „csináld velem” módban támogatja – a tanuló párhuzamosan nézi és végzi a lépéseket. Rövid, olcsón gyártható, és a kurzus első valódi sikerélményét támogatja meg, aminek a lemorzsolódás-csökkentésben mérhető hatása lehet.</w:t>
      </w:r>
    </w:p>
    <w:p>
      <w:pPr>
        <w:pStyle w:val="Heading2"/>
        <w:spacing w:after="110" w:before="240"/>
      </w:pPr>
      <w:r>
        <w:rPr>
          <w:rFonts w:ascii="Calibri" w:cs="Calibri" w:eastAsia="Calibri" w:hAnsi="Calibri"/>
          <w:b/>
          <w:bCs/>
          <w:color w:val="1F4E79"/>
          <w:sz w:val="24"/>
          <w:szCs w:val="24"/>
        </w:rPr>
        <w:t xml:space="preserve">2.4 Hiánypótlás megválaszolása (3.2) – 4. prioritás</w:t>
      </w:r>
    </w:p>
    <w:p>
      <w:pPr>
        <w:spacing w:after="130" w:before="0"/>
      </w:pPr>
      <w:r>
        <w:rPr>
          <w:rFonts w:ascii="Calibri" w:cs="Calibri" w:eastAsia="Calibri" w:hAnsi="Calibri"/>
          <w:sz w:val="21"/>
          <w:szCs w:val="21"/>
        </w:rPr>
        <w:t xml:space="preserve">A hiánypótlás az a művelet, amelyet a tanuló éles helyzetben, rövid határidő nyomása alatt végez majd – ott már nincs idő a tananyagot újraolvasni. A videó célja, hogy a folyamat „izommemóriává” váljon: a felhívás megnyitása, a megfelelő cselekmény kiválasztása (AMHP vagy FKM), a válasz összeállítása és a „Kiküldve” státusz ellenőrzése. Az esettanulmány 3. fejezete és a Hiánypótlási gyorssegédlet ugyanezt a folyamatot erősíti – a három elem együtt lefedi az olvasás–látás–alkalmazás hármasát.</w:t>
      </w:r>
    </w:p>
    <w:p>
      <w:pPr>
        <w:pStyle w:val="Heading2"/>
        <w:spacing w:after="110" w:before="240"/>
      </w:pPr>
      <w:r>
        <w:rPr>
          <w:rFonts w:ascii="Calibri" w:cs="Calibri" w:eastAsia="Calibri" w:hAnsi="Calibri"/>
          <w:b/>
          <w:bCs/>
          <w:color w:val="1F4E79"/>
          <w:sz w:val="24"/>
          <w:szCs w:val="24"/>
        </w:rPr>
        <w:t xml:space="preserve">2.5 Előzetes vitarendezési kérelem benyújtása (5.1) – 5. prioritás</w:t>
      </w:r>
    </w:p>
    <w:p>
      <w:pPr>
        <w:spacing w:after="130" w:before="0"/>
      </w:pPr>
      <w:r>
        <w:rPr>
          <w:rFonts w:ascii="Calibri" w:cs="Calibri" w:eastAsia="Calibri" w:hAnsi="Calibri"/>
          <w:sz w:val="21"/>
          <w:szCs w:val="21"/>
        </w:rPr>
        <w:t xml:space="preserve">Ritkán használt, de nagy tétű funkció, szoros jogvesztő határidővel. Mivel a tanuló jellemzően soha nem próbálja ki előre, a videó az egyetlen módja, hogy „lássa már egyszer” a folyamatot, mielőtt élesben kellene. Rövid, szigorúan rendszerhasználati screencast – a jogi feltételeket a lecke szövege tárgyalja.</w:t>
      </w:r>
    </w:p>
    <w:p>
      <w:pPr>
        <w:pStyle w:val="Heading2"/>
        <w:spacing w:after="110" w:before="240"/>
      </w:pPr>
      <w:r>
        <w:rPr>
          <w:rFonts w:ascii="Calibri" w:cs="Calibri" w:eastAsia="Calibri" w:hAnsi="Calibri"/>
          <w:b/>
          <w:bCs/>
          <w:color w:val="1F4E79"/>
          <w:sz w:val="24"/>
          <w:szCs w:val="24"/>
        </w:rPr>
        <w:t xml:space="preserve">2.6 Opcionális: KKV-vezetői interjú (0.1)</w:t>
      </w:r>
    </w:p>
    <w:p>
      <w:pPr>
        <w:spacing w:after="130" w:before="0"/>
      </w:pPr>
      <w:r>
        <w:rPr>
          <w:rFonts w:ascii="Calibri" w:cs="Calibri" w:eastAsia="Calibri" w:hAnsi="Calibri"/>
          <w:sz w:val="21"/>
          <w:szCs w:val="21"/>
        </w:rPr>
        <w:t xml:space="preserve">Ha van rá gyártási keret: 2–3 perces interjú egy közbeszerzésen ténylegesen sikeres kisvállalkozás vezetőjével a 0.1 leckéhez. A „megéri-e belevágni?” kérdésre a kortárs hitelesség erősebb válasz, mint bármilyen tananyagszöveg, és EU-finanszírozott KKV-képzésnél a projektkommunikációban (disszemináció) is felhasználható. Kockázata alacsony: nem tartalmaz jogi állítást, nem avul az EKR-rel.</w:t>
      </w:r>
    </w:p>
    <w:p>
      <w:pPr>
        <w:pStyle w:val="Heading1"/>
        <w:spacing w:after="140" w:before="320"/>
      </w:pPr>
      <w:r>
        <w:rPr>
          <w:rFonts w:ascii="Calibri" w:cs="Calibri" w:eastAsia="Calibri" w:hAnsi="Calibri"/>
          <w:b/>
          <w:bCs/>
          <w:color w:val="1F4E79"/>
          <w:sz w:val="29"/>
          <w:szCs w:val="29"/>
        </w:rPr>
        <w:t xml:space="preserve">3. Ahová kifejezetten NEM javasolt videó</w:t>
      </w:r>
    </w:p>
    <w:p>
      <w:pPr>
        <w:spacing w:after="130" w:before="0"/>
      </w:pPr>
      <w:r>
        <w:rPr>
          <w:rFonts w:ascii="Calibri" w:cs="Calibri" w:eastAsia="Calibri" w:hAnsi="Calibri"/>
          <w:sz w:val="21"/>
          <w:szCs w:val="21"/>
        </w:rPr>
        <w:t xml:space="preserve">A jogi törzsanyag (a 2., 4. és 5. modul Kbt.-tartalma) videósítása három okból kerülendő: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Karbantartás: jogszabályváltozásnál a szöveg egy délután alatt frissíthető, a videó újraforgatást igényel.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Tanulhatóság: a jogi tartalom szövegben kereshető, visszalapozható, jegyzetelhető – tanulásnál ez többet ér, mint a látvány.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Lektorálási kockázat: a kimondott jogi állítás utólag nem javítható „egy mondat átírásával”; a hibás videó teljes egészében selejt.</w:t>
      </w:r>
    </w:p>
    <w:p>
      <w:pPr>
        <w:spacing w:after="90" w:before="0"/>
      </w:pPr>
      <w:r>
        <w:rPr>
          <w:rFonts w:ascii="Calibri" w:cs="Calibri" w:eastAsia="Calibri" w:hAnsi="Calibri"/>
          <w:sz w:val="21"/>
          <w:szCs w:val="21"/>
        </w:rPr>
        <w:t xml:space="preserv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DF2D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Vezérelv a screencastokhoz</w:t>
            </w:r>
          </w:p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A screencastok szigorúan csak rendszerhasználatot mutassanak, jogi magyarázat nélkül. Így egy Kbt.-módosítás nem, csak egy EKR-felületváltás kényszerít újraforgatásra – a két kockázat szétválasztása a videóállomány élettartamát évekkel hosszabbítja meg.</w:t>
            </w:r>
          </w:p>
        </w:tc>
      </w:tr>
    </w:tbl>
    <w:p>
      <w:pPr>
        <w:pStyle w:val="Heading1"/>
        <w:spacing w:after="140" w:before="320"/>
      </w:pPr>
      <w:r>
        <w:rPr>
          <w:rFonts w:ascii="Calibri" w:cs="Calibri" w:eastAsia="Calibri" w:hAnsi="Calibri"/>
          <w:b/>
          <w:bCs/>
          <w:color w:val="1F4E79"/>
          <w:sz w:val="29"/>
          <w:szCs w:val="29"/>
        </w:rPr>
        <w:t xml:space="preserve">4. Gyártási és karbantartási irányelvek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Rövid, cselekményenként különálló klipek: egy 10 perces monstre videó helyett 2–4 perces egységek – felületváltásnál csak az érintett klip forgatandó újra.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Minden videóhoz archiválandó: forgatókönyv, narrációs szöveg, nyers felvétel és projektfájl – az újraforgatás így töredékköltség.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A narrációs szövegek a jogi lektor által ellenőrzendők még a forgatás előtt (a screencast-forgatókönyv egyben lektorálható dokumentum).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Demókörnyezet: a felvételek az EKR nyilvános/oktató felületén, kitalált cégadatokkal készüljenek – valós eljárás, valós cégadat ne szerepeljen képernyőn.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Akadálymentesség: minden videóhoz felirat (a narrációs szövegből generálható) és rövid szöveges összefoglaló a lecke oldalán.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Elnevezési konvenció az új modulszámozás szerint (pl. modul-2-video-ajanlat-benyujtas-1.mp4), összhangban a H5P-fájlok tervezett átnevezésével.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H5P interaktív videó: a meglévő gyakorlat (videóba ágyazott ellenőrző kérdések) az új videóknál is követendő – a kérdéspontok a forgatókönyvben előre jelölendők.</w:t>
      </w:r>
    </w:p>
    <w:p>
      <w:pPr>
        <w:pStyle w:val="Heading1"/>
        <w:spacing w:after="140" w:before="320"/>
      </w:pPr>
      <w:r>
        <w:rPr>
          <w:rFonts w:ascii="Calibri" w:cs="Calibri" w:eastAsia="Calibri" w:hAnsi="Calibri"/>
          <w:b/>
          <w:bCs/>
          <w:color w:val="1F4E79"/>
          <w:sz w:val="29"/>
          <w:szCs w:val="29"/>
        </w:rPr>
        <w:t xml:space="preserve">5. Javasolt következő lépés</w:t>
      </w:r>
    </w:p>
    <w:p>
      <w:pPr>
        <w:spacing w:after="130" w:before="0"/>
      </w:pPr>
      <w:r>
        <w:rPr>
          <w:rFonts w:ascii="Calibri" w:cs="Calibri" w:eastAsia="Calibri" w:hAnsi="Calibri"/>
          <w:sz w:val="21"/>
          <w:szCs w:val="21"/>
        </w:rPr>
        <w:t xml:space="preserve">A top 3 videóhoz (ajánlat-benyújtás, hirdetményfigyelés, hiánypótlás) screencast-forgatókönyv készítése: jelenetekre bontva, képernyő-műveletekkel és narrációs szöveggel. Ez egyszerre a gyártás alapdokumentuma és a jogi lektorálás tárgya – a forgatás csak a lektorált forgatókönyv birtokában induljon.</w:t>
      </w:r>
    </w:p>
    <w:p>
      <w:pPr>
        <w:spacing w:after="0" w:before="200"/>
      </w:pPr>
      <w:r>
        <w:rPr>
          <w:rFonts w:ascii="Calibri" w:cs="Calibri" w:eastAsia="Calibri" w:hAnsi="Calibri"/>
          <w:i/>
          <w:iCs/>
          <w:color w:val="595959"/>
          <w:sz w:val="18"/>
          <w:szCs w:val="18"/>
        </w:rPr>
        <w:t xml:space="preserve">Közbeszerzési szakmai tananyag · Videógyártási javaslat · 1. változat, 2026. július</w:t>
      </w:r>
    </w:p>
    <w:sectPr>
      <w:pgSz w:w="11906" w:h="16838" w:orient="portrait"/>
      <w:pgMar w:top="1200" w:right="1400" w:bottom="1200" w:left="14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40" w:hanging="23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2026-07-06T18:41:06.466Z</dcterms:created>
  <dcterms:modified xsi:type="dcterms:W3CDTF">2026-07-06T18:41:06.496Z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