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lxulqrm1ls5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tech stack of LexCoworkAI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goal: finalize a </w:t>
      </w:r>
      <w:r w:rsidDel="00000000" w:rsidR="00000000" w:rsidRPr="00000000">
        <w:rPr>
          <w:b w:val="1"/>
          <w:bCs w:val="1"/>
          <w:rtl w:val="0"/>
        </w:rPr>
        <w:t xml:space="preserve">Cowork-style Legal platform tech stack</w:t>
      </w:r>
      <w:r w:rsidDel="00000000" w:rsidR="00000000" w:rsidRPr="00000000">
        <w:rPr>
          <w:rtl w:val="0"/>
        </w:rPr>
        <w:t xml:space="preserve"> that adds </w:t>
      </w:r>
      <w:r w:rsidDel="00000000" w:rsidR="00000000" w:rsidRPr="00000000">
        <w:rPr>
          <w:b w:val="1"/>
          <w:bCs w:val="1"/>
          <w:rtl w:val="0"/>
        </w:rPr>
        <w:t xml:space="preserve">legal-trained / legal-database APIs</w:t>
      </w:r>
      <w:r w:rsidDel="00000000" w:rsidR="00000000" w:rsidRPr="00000000">
        <w:rPr>
          <w:rtl w:val="0"/>
        </w:rPr>
        <w:t xml:space="preserve"> alongside Claude, without slowing your MVP.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vsx5t8z4c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tech stack (with Legal LLM + Legal Data APIs)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4hd0dc8kp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Core LLM + Agent layer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 Claude API / Workers (Cowork-style orchestration)</w:t>
      </w:r>
      <w:r w:rsidDel="00000000" w:rsidR="00000000" w:rsidRPr="00000000">
        <w:rPr>
          <w:rtl w:val="0"/>
        </w:rPr>
        <w:t xml:space="preserve"> as the primary reasoning + tool-calling engine.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“secondary LLM” (only if you want model diversity later): keep behind an abstraction so you can swap without rewriting workers.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ttybna7ep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Legal LLM / Legal Intelligence with APIs (use alongside Claude)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most practical “legal-trained + legal database connected” options that actually have developer programs: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 / Global (enterprise-grade authoritative content)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Thomson Reuters (Westlaw / Practical Law ecosystem) via Developer Portal</w:t>
      </w:r>
      <w:r w:rsidDel="00000000" w:rsidR="00000000" w:rsidRPr="00000000">
        <w:rPr>
          <w:rtl w:val="0"/>
        </w:rPr>
        <w:t xml:space="preserve"> — partner/enterprise APIs to access TR content &amp; data products.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Thomson Reuters Developer Portal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CoCounsel (Thomson Reuters)</w:t>
      </w:r>
      <w:r w:rsidDel="00000000" w:rsidR="00000000" w:rsidRPr="00000000">
        <w:rPr>
          <w:rtl w:val="0"/>
        </w:rPr>
        <w:t xml:space="preserve"> — AI assistant grounded in TR content; integration ecosystem exists (useful as a data/content layer even if not a simple public API).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Thomson Reuters Legal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LexisNexis Developer Portal / Lexis APIs</w:t>
      </w:r>
      <w:r w:rsidDel="00000000" w:rsidR="00000000" w:rsidRPr="00000000">
        <w:rPr>
          <w:rtl w:val="0"/>
        </w:rPr>
        <w:t xml:space="preserve"> — enterprise APIs to integrate LexisNexis resources/content into your apps.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dev.lexisnexis.com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vLex Vincent + vLex Developer APIs</w:t>
      </w:r>
      <w:r w:rsidDel="00000000" w:rsidR="00000000" w:rsidRPr="00000000">
        <w:rPr>
          <w:rtl w:val="0"/>
        </w:rPr>
        <w:t xml:space="preserve"> — global legal database + AI, with a documented API catalog (good for multi-jurisdiction research, often includes India coverage depending on license).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vLex Developer Portal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Lex Machina API (LexisNexis)</w:t>
      </w:r>
      <w:r w:rsidDel="00000000" w:rsidR="00000000" w:rsidRPr="00000000">
        <w:rPr>
          <w:rtl w:val="0"/>
        </w:rPr>
        <w:t xml:space="preserve"> — litigation analytics data/API (US-heavy) if you need structured case analytics.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LexisNexis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 (practical, API-accessible legal database)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Indian Kanoon API</w:t>
      </w:r>
      <w:r w:rsidDel="00000000" w:rsidR="00000000" w:rsidRPr="00000000">
        <w:rPr>
          <w:rtl w:val="0"/>
        </w:rPr>
        <w:t xml:space="preserve"> — programmatic search + document retrieval for Indian case law/judgments; very usable for RAG grounding in India.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api.indiankanoon.org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kanoon.dev</w:t>
      </w:r>
      <w:r w:rsidDel="00000000" w:rsidR="00000000" w:rsidRPr="00000000">
        <w:rPr>
          <w:rtl w:val="0"/>
        </w:rPr>
        <w:t xml:space="preserve"> — “API for Indian Law” with a Node library (good shortcut if it meets your coverage needs).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docs.kanoon.dev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Reality check: </w:t>
      </w:r>
      <w:r w:rsidDel="00000000" w:rsidR="00000000" w:rsidRPr="00000000">
        <w:rPr>
          <w:b w:val="1"/>
          <w:bCs w:val="1"/>
          <w:rtl w:val="0"/>
        </w:rPr>
        <w:t xml:space="preserve">India Code</w:t>
      </w:r>
      <w:r w:rsidDel="00000000" w:rsidR="00000000" w:rsidRPr="00000000">
        <w:rPr>
          <w:rtl w:val="0"/>
        </w:rPr>
        <w:t xml:space="preserve"> is excellent as a statutes portal, but it’s primarily a website experience; you’d typically treat it as a source for curated ingestion rather than a full official API.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India Code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ah16sd9we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RAG / Knowledge layer (legal-grade)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Postgres + pgvector</w:t>
      </w:r>
      <w:r w:rsidDel="00000000" w:rsidR="00000000" w:rsidRPr="00000000">
        <w:rPr>
          <w:rtl w:val="0"/>
        </w:rPr>
        <w:t xml:space="preserve"> (single-store RAG; simplest operationally)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service</w:t>
      </w:r>
      <w:r w:rsidDel="00000000" w:rsidR="00000000" w:rsidRPr="00000000">
        <w:rPr>
          <w:rtl w:val="0"/>
        </w:rPr>
        <w:t xml:space="preserve"> (Edge Function or separate worker):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 → clause/section chunk → embed → store with metadata: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jurisdiction</w:t>
      </w:r>
      <w:r w:rsidDel="00000000" w:rsidR="00000000" w:rsidRPr="00000000">
        <w:rPr>
          <w:rtl w:val="0"/>
        </w:rPr>
        <w:t xml:space="preserve"> (US federal / US state / IN central / IN state)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doc_type</w:t>
      </w:r>
      <w:r w:rsidDel="00000000" w:rsidR="00000000" w:rsidRPr="00000000">
        <w:rPr>
          <w:rtl w:val="0"/>
        </w:rPr>
        <w:t xml:space="preserve"> (NDA/MSA/Policy/Case/Statute)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authority_level</w:t>
      </w:r>
      <w:r w:rsidDel="00000000" w:rsidR="00000000" w:rsidRPr="00000000">
        <w:rPr>
          <w:rtl w:val="0"/>
        </w:rPr>
        <w:t xml:space="preserve"> (internal template vs public database)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 rules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jurisdiction allowlist + strict filters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 source → no claim” for legal assertions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citations stored as first-class objects (chunk ids + offsets)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zq6s1os9b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Backend &amp; orchestration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Auth + RLS</w:t>
      </w:r>
      <w:r w:rsidDel="00000000" w:rsidR="00000000" w:rsidRPr="00000000">
        <w:rPr>
          <w:rtl w:val="0"/>
        </w:rPr>
        <w:t xml:space="preserve"> (multi-tenant security)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Edge Functions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 execution (create doc, insert redlines, export)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Policy/guardrail middleware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RAG retrieval endpoints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 tasks (Cowork parity)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Trigger.dev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Inngest</w:t>
      </w:r>
      <w:r w:rsidDel="00000000" w:rsidR="00000000" w:rsidRPr="00000000">
        <w:rPr>
          <w:rtl w:val="0"/>
        </w:rPr>
        <w:t xml:space="preserve"> for background jobs + retries + status updates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a9d5ce5vt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Security &amp; guardrails (must-have for legal)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3-layer gating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Policy gate</w:t>
      </w:r>
      <w:r w:rsidDel="00000000" w:rsidR="00000000" w:rsidRPr="00000000">
        <w:rPr>
          <w:rtl w:val="0"/>
        </w:rPr>
        <w:t xml:space="preserve"> (block advice / court strategy / illegal requests)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 gate</w:t>
      </w:r>
      <w:r w:rsidDel="00000000" w:rsidR="00000000" w:rsidRPr="00000000">
        <w:rPr>
          <w:rtl w:val="0"/>
        </w:rPr>
        <w:t xml:space="preserve"> (allowlist tools, require approval for writes)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 gate</w:t>
      </w:r>
      <w:r w:rsidDel="00000000" w:rsidR="00000000" w:rsidRPr="00000000">
        <w:rPr>
          <w:rtl w:val="0"/>
        </w:rPr>
        <w:t xml:space="preserve"> (jurisdiction tag + disclaimer + citations check)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 (append-only)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prompt → retrieved sources → draft → user approval → final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limits + abuse controls</w:t>
      </w:r>
      <w:r w:rsidDel="00000000" w:rsidR="00000000" w:rsidRPr="00000000">
        <w:rPr>
          <w:rtl w:val="0"/>
        </w:rPr>
        <w:t xml:space="preserve">: Upstash Redis (fast shortcut)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WAF</w:t>
      </w:r>
      <w:r w:rsidDel="00000000" w:rsidR="00000000" w:rsidRPr="00000000">
        <w:rPr>
          <w:rtl w:val="0"/>
        </w:rPr>
        <w:t xml:space="preserve">: Cloudflare in front of Vercel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fiqp2z3bc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Frontend (beautiful Cowork-like UI)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+ TypeScript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shadcn/ui + Tailwind</w:t>
      </w:r>
      <w:r w:rsidDel="00000000" w:rsidR="00000000" w:rsidRPr="00000000">
        <w:rPr>
          <w:rtl w:val="0"/>
        </w:rPr>
        <w:t xml:space="preserve"> (fastest to build a polished dashboard)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TipTap</w:t>
      </w:r>
      <w:r w:rsidDel="00000000" w:rsidR="00000000" w:rsidRPr="00000000">
        <w:rPr>
          <w:rtl w:val="0"/>
        </w:rPr>
        <w:t xml:space="preserve"> (rich editor) + </w:t>
      </w:r>
      <w:r w:rsidDel="00000000" w:rsidR="00000000" w:rsidRPr="00000000">
        <w:rPr>
          <w:b w:val="1"/>
          <w:bCs w:val="1"/>
          <w:rtl w:val="0"/>
        </w:rPr>
        <w:t xml:space="preserve">diff viewer</w:t>
      </w:r>
      <w:r w:rsidDel="00000000" w:rsidR="00000000" w:rsidRPr="00000000">
        <w:rPr>
          <w:rtl w:val="0"/>
        </w:rPr>
        <w:t xml:space="preserve"> for redlines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Realtime task status</w:t>
      </w:r>
      <w:r w:rsidDel="00000000" w:rsidR="00000000" w:rsidRPr="00000000">
        <w:rPr>
          <w:rtl w:val="0"/>
        </w:rPr>
        <w:t xml:space="preserve"> via Supabase Realtime (queued/running/review-required)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lqu1fk6vz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recommendation (fast + credible)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launch quickly without enterprise contracts on day 1: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Legal LLM/Data combo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(Workers) + Supabase RAG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Indian Kanoon API</w:t>
      </w:r>
      <w:r w:rsidDel="00000000" w:rsidR="00000000" w:rsidRPr="00000000">
        <w:rPr>
          <w:rtl w:val="0"/>
        </w:rPr>
        <w:t xml:space="preserve"> for India case law grounding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api.indiankanoon.org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vLex Developer APIs</w:t>
      </w:r>
      <w:r w:rsidDel="00000000" w:rsidR="00000000" w:rsidRPr="00000000">
        <w:rPr>
          <w:rtl w:val="0"/>
        </w:rPr>
        <w:t xml:space="preserve"> (if you can license) for broader global/US research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vLex Developer Portal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upgrade path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LexisNexis APIs</w:t>
      </w:r>
      <w:r w:rsidDel="00000000" w:rsidR="00000000" w:rsidRPr="00000000">
        <w:rPr>
          <w:rtl w:val="0"/>
        </w:rPr>
        <w:t xml:space="preserve">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dev.lexisnexis.com</w:t>
        </w:r>
      </w:hyperlink>
      <w:r w:rsidDel="00000000" w:rsidR="00000000" w:rsidRPr="00000000">
        <w:rPr>
          <w:rtl w:val="0"/>
        </w:rPr>
        <w:t xml:space="preserve">) and/or </w:t>
      </w:r>
      <w:r w:rsidDel="00000000" w:rsidR="00000000" w:rsidRPr="00000000">
        <w:rPr>
          <w:b w:val="1"/>
          <w:bCs w:val="1"/>
          <w:rtl w:val="0"/>
        </w:rPr>
        <w:t xml:space="preserve">Thomson Reuters Developer Portal</w:t>
      </w:r>
      <w:r w:rsidDel="00000000" w:rsidR="00000000" w:rsidRPr="00000000">
        <w:rPr>
          <w:rtl w:val="0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Thomson Reuters Developer Portal</w:t>
        </w:r>
      </w:hyperlink>
      <w:r w:rsidDel="00000000" w:rsidR="00000000" w:rsidRPr="00000000">
        <w:rPr>
          <w:rtl w:val="0"/>
        </w:rPr>
        <w:t xml:space="preserve">) when customers demand “Westlaw/Lexis-backed” authority.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 give you the step-by-step integration plan and the exact schema (tables + RLS + Edge Functions), which of these can you realistically license in the next 30–60 days: </w:t>
      </w:r>
      <w:r w:rsidDel="00000000" w:rsidR="00000000" w:rsidRPr="00000000">
        <w:rPr>
          <w:b w:val="1"/>
          <w:bCs w:val="1"/>
          <w:rtl w:val="0"/>
        </w:rPr>
        <w:t xml:space="preserve">vLex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LexisNexis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Thomson Reuters</w:t>
      </w:r>
      <w:r w:rsidDel="00000000" w:rsidR="00000000" w:rsidRPr="00000000">
        <w:rPr>
          <w:rtl w:val="0"/>
        </w:rPr>
        <w:t xml:space="preserve">, or should we ship MVP with </w:t>
      </w:r>
      <w:r w:rsidDel="00000000" w:rsidR="00000000" w:rsidRPr="00000000">
        <w:rPr>
          <w:b w:val="1"/>
          <w:bCs w:val="1"/>
          <w:rtl w:val="0"/>
        </w:rPr>
        <w:t xml:space="preserve">Indian Kanoon + your internal templates</w:t>
      </w:r>
      <w:r w:rsidDel="00000000" w:rsidR="00000000" w:rsidRPr="00000000">
        <w:rPr>
          <w:rtl w:val="0"/>
        </w:rPr>
        <w:t xml:space="preserve"> first?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i.indiankanoon.org/?utm_source=chatgpt.com" TargetMode="External"/><Relationship Id="rId10" Type="http://schemas.openxmlformats.org/officeDocument/2006/relationships/hyperlink" Target="https://www.lexisnexis.com/en-us/products/lexis-api.page?utm_source=chatgpt.com" TargetMode="External"/><Relationship Id="rId13" Type="http://schemas.openxmlformats.org/officeDocument/2006/relationships/hyperlink" Target="https://www.indiacode.nic.in/?utm_source=chatgpt.com" TargetMode="External"/><Relationship Id="rId12" Type="http://schemas.openxmlformats.org/officeDocument/2006/relationships/hyperlink" Target="https://docs.kanoon.dev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vlex.com/apis?utm_source=chatgpt.com" TargetMode="External"/><Relationship Id="rId15" Type="http://schemas.openxmlformats.org/officeDocument/2006/relationships/hyperlink" Target="https://developer.vlex.com/apis?utm_source=chatgpt.com" TargetMode="External"/><Relationship Id="rId14" Type="http://schemas.openxmlformats.org/officeDocument/2006/relationships/hyperlink" Target="https://api.indiankanoon.org/?utm_source=chatgpt.com" TargetMode="External"/><Relationship Id="rId17" Type="http://schemas.openxmlformats.org/officeDocument/2006/relationships/hyperlink" Target="https://developers.thomsonreuters.com/?utm_source=chatgpt.com" TargetMode="External"/><Relationship Id="rId16" Type="http://schemas.openxmlformats.org/officeDocument/2006/relationships/hyperlink" Target="https://dev.lexisnexis.com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s.thomsonreuters.com/?utm_source=chatgpt.com" TargetMode="External"/><Relationship Id="rId7" Type="http://schemas.openxmlformats.org/officeDocument/2006/relationships/hyperlink" Target="https://legal.thomsonreuters.com/en/products/cocounsel-legal?utm_source=chatgpt.com" TargetMode="External"/><Relationship Id="rId8" Type="http://schemas.openxmlformats.org/officeDocument/2006/relationships/hyperlink" Target="https://dev.lexisnexis.com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