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July 20, 2026</w:t>
      </w:r>
    </w:p>
    <w:p>
      <w:r>
        <w:t>Editor-in-Chief</w:t>
      </w:r>
    </w:p>
    <w:p>
      <w:r>
        <w:t>IEEE Transactions on Dependable and Secure Computing</w:t>
      </w:r>
    </w:p>
    <w:p>
      <w:r>
        <w:t>IEEE Computer Society</w:t>
      </w:r>
    </w:p>
    <w:p>
      <w:pPr>
        <w:pStyle w:val="LetterSubject"/>
      </w:pPr>
      <w:r>
        <w:rPr>
          <w:b/>
        </w:rPr>
        <w:t xml:space="preserve">Subject: </w:t>
      </w:r>
      <w:r>
        <w:t>Resubmission of Revised Manuscript as a New Submission</w:t>
      </w:r>
    </w:p>
    <w:p>
      <w:pPr>
        <w:spacing w:after="140"/>
      </w:pPr>
      <w:r>
        <w:rPr>
          <w:b/>
        </w:rPr>
        <w:t xml:space="preserve">Manuscript title: </w:t>
      </w:r>
      <w:r>
        <w:t>"Security-Aware Federated Reinforcement Learning for Resilient Recovery of Cyber-Physical Systems Under Cross-Layer Attacks"</w:t>
      </w:r>
    </w:p>
    <w:p>
      <w:r>
        <w:t>Dear Editor-in-Chief,</w:t>
      </w:r>
    </w:p>
    <w:p>
      <w:r>
        <w:t>We respectfully submit the revised manuscript entitled "Security-Aware Federated Reinforcement Learning for Resilient Recovery of Cyber-Physical Systems Under Cross-Layer Attacks" to IEEE Transactions on Dependable and Secure Computing as a new submission after the previous revise-and-resubmit decision. The manuscript is authored by Kai Zhong, Zhibang Yang, Yumeng Liu, Siyang Yu, and Kenli Li.</w:t>
      </w:r>
    </w:p>
    <w:p>
      <w:r>
        <w:t>We appreciate the Associate Editor and reviewers for their detailed and constructive comments. The manuscript has been carefully revised to address the main concerns and to improve its technical rigor, terminology, empirical scope, and presentation. The principal changes are as follows:</w:t>
      </w:r>
    </w:p>
    <w:p>
      <w:pPr>
        <w:pStyle w:val="CompactList"/>
      </w:pPr>
      <w:r>
        <w:rPr>
          <w:b/>
        </w:rPr>
        <w:t xml:space="preserve">1. Proofreading and presentation. </w:t>
      </w:r>
      <w:r>
        <w:t>The title spelling error has been corrected throughout the title page, running header, and source files, and the manuscript has undergone an additional proofreading pass.</w:t>
      </w:r>
    </w:p>
    <w:p>
      <w:pPr>
        <w:pStyle w:val="CompactList"/>
      </w:pPr>
      <w:r>
        <w:rPr>
          <w:b/>
        </w:rPr>
        <w:t xml:space="preserve">2. Theory. </w:t>
      </w:r>
      <w:r>
        <w:t>The convergence discussion has been rewritten as a conditional stationarity analysis for the round-level surrogate objective. The revised bound explicitly retains sparse-compression and credibility-weighting residual terms instead of claiming an unconditional O(T^{-1/2}) MARL convergence rate.</w:t>
      </w:r>
    </w:p>
    <w:p>
      <w:pPr>
        <w:pStyle w:val="CompactList"/>
      </w:pPr>
      <w:r>
        <w:rPr>
          <w:b/>
        </w:rPr>
        <w:t xml:space="preserve">3. Terminology and model sharing. </w:t>
      </w:r>
      <w:r>
        <w:t>The manuscript now uses "heterogeneous federated reinforcement learning" rather than "vertical federated learning" and explains the shared-backbone/local-adapter interpretation used for parameter aggregation under heterogeneous observations.</w:t>
      </w:r>
    </w:p>
    <w:p>
      <w:pPr>
        <w:pStyle w:val="CompactList"/>
      </w:pPr>
      <w:r>
        <w:rPr>
          <w:b/>
        </w:rPr>
        <w:t xml:space="preserve">4. Experiments and external validity. </w:t>
      </w:r>
      <w:r>
        <w:t>The experimental claims are scoped to IEEE 39-bus and IEEE 118-bus power-grid CPS benchmarks. We added discussion of cross-domain transfer paths, simulation-to-real gaps, deployment constraints, runtime overhead, and fail-safe integration.</w:t>
      </w:r>
    </w:p>
    <w:p>
      <w:pPr>
        <w:pStyle w:val="CompactList"/>
      </w:pPr>
      <w:r>
        <w:rPr>
          <w:b/>
        </w:rPr>
        <w:t xml:space="preserve">5. Privacy-risk assessment. </w:t>
      </w:r>
      <w:r>
        <w:t>Membership-inference results are now described as empirical privacy-risk assessment, not as formal privacy guarantees. The revised manuscript discusses gradient-leakage risks and how AEFC can be combined with secure aggregation, clipping, and differential privacy in high-assurance deployments.</w:t>
      </w:r>
    </w:p>
    <w:p>
      <w:r>
        <w:t>The manuscript is original, has not been published previously, and is not under consideration elsewhere. All authors have approved this submission and declare no conflicts of interest. The source code is available at https://github.com/startkz/AEFC-FRL to support reproducibility.</w:t>
      </w:r>
    </w:p>
    <w:p>
      <w:r>
        <w:t>This work was supported in part by the National Natural Science Foundation of China (Grant Nos. 62502154, U23A20317, 62472151, and 62321003), the Natural Science Foundation of Hunan Province (Grant Nos. 2023JJ10016 and 2023JJ30083), the Postdoctoral Fellowship Program of the China Postdoctoral Science Foundation (Grant No. GZC20252182), and the Yuelu Mountain Industrial Innovation Center Project (Grant No. 2023YCII0118).</w:t>
      </w:r>
    </w:p>
    <w:p>
      <w:r>
        <w:t>Thank you for considering our revised manuscript for review.</w:t>
      </w:r>
    </w:p>
    <w:p>
      <w:r>
        <w:t>Sincerely,</w:t>
      </w:r>
    </w:p>
    <w:p>
      <w:r>
        <w:t>Zhibang Yang, Ph.D.</w:t>
      </w:r>
    </w:p>
    <w:p>
      <w:r>
        <w:t>Corresponding Author</w:t>
      </w:r>
    </w:p>
    <w:p>
      <w:r>
        <w:t>Hunan Province Key Laboratory of Industrial Internet Technology and Security</w:t>
      </w:r>
    </w:p>
    <w:p>
      <w:r>
        <w:t>Changsha University, Hunan, China, 410022</w:t>
      </w:r>
    </w:p>
    <w:p>
      <w:r>
        <w:t>E-mail: yangzhibang2006@126.com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Subject">
    <w:name w:val="LetterSubject"/>
    <w:pPr>
      <w:spacing w:before="120" w:after="140"/>
    </w:pPr>
    <w:rPr>
      <w:rFonts w:ascii="Times New Roman" w:hAnsi="Times New Roman" w:eastAsia="Times New Roman"/>
      <w:b/>
      <w:sz w:val="21"/>
    </w:rPr>
  </w:style>
  <w:style w:type="paragraph" w:customStyle="1" w:styleId="CompactList">
    <w:name w:val="CompactList"/>
    <w:pPr>
      <w:spacing w:after="60" w:line="245" w:lineRule="auto"/>
      <w:ind w:left="346" w:hanging="259"/>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TDSC manuscript resubmission</dc:subject>
  <dc:creator>Authors</dc:creator>
  <cp:keywords>TDSC; cover letter; resubmission</cp:keywords>
  <dc:description/>
  <cp:lastModifiedBy>Authors</cp:lastModifiedBy>
  <cp:revision>1</cp:revision>
  <dcterms:created xsi:type="dcterms:W3CDTF">2013-12-23T23:15:00Z</dcterms:created>
  <dcterms:modified xsi:type="dcterms:W3CDTF">2013-12-23T23:15:00Z</dcterms:modified>
  <cp:category/>
</cp:coreProperties>
</file>