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824"/>
                  </w:pPr>
                </w:p>
                <w:p>
                  <w:pPr>
                    <w:spacing w:after="200" w:line="920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iPSC生产管理系统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开发计划（融合版）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/>
                </w:tcPr>
                <w:p>
                  <w:pPr>
                    <w:spacing w:after="0" w:before="0"/>
                  </w:pPr>
                </w:p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文档版本：v1.0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编制日期：2026年4月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状态：待确认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687078"/>
                <w:sz w:val="22"/>
                <w:szCs w:val="22"/>
              </w:rPr>
              <w:t xml:space="preserve">机密文件</w:t>
            </w:r>
            <w:r>
              <w:t xml:space="preserve">          </w:t>
            </w:r>
            <w:r>
              <w:rPr>
                <w:color w:val="687078"/>
                <w:sz w:val="22"/>
                <w:szCs w:val="22"/>
              </w:rPr>
              <w:t xml:space="preserve">仅限内部使用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40" w:before="360" w:line="312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目录</w:t>
      </w:r>
      <w:bookmarkEnd w:id="100000"/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目录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执行摘要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现状与问题分析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行业背景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传统 LIMS 方案的局限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 双模式架构的必要性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 架构设计与技术选型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 架构核心：意图层抽象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 技术栈选型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3.3 AI 辅助开发的技术约束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七项架构准备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概述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4.2 优先级矩阵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4.3 每项准备的简明说明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 MVP 功能范围（阶段一）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5.1 MVP 定位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5.2 核心功能模块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5.3 MVP 明确不包含的功能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6. 分阶段开发计划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6.1 总体规划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6.2 阶段一详细拆解（MVP — 第 1–8 周）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第 1–2 周：基础架构搭建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第 3–4 周：批次管理 + eBPR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第 5–6 周：质检 + CoA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第 7–8 周：追溯 + 配置 + 联调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6.3 阶段二详细拆解（AI 集成 — 第 9–12 周）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6.4 阶段三 + 四简述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 AI 辅助开发策略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7.1 团队配置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7.2 AI 辅助开发的最佳实践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7.3 AI 辅助开发的风险与应对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 风险管理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8.1 项目风险矩阵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8.2 风险监控机制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9. 质量保证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9.1 代码质量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9.2 测试策略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9.3 文档管理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10. 预期效果与评估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10.1 成功标准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10.2 核心价值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11. 附录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11.1 词汇表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11.2 关键里程碑汇总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1. 执行摘要</w:t>
      </w:r>
      <w:bookmarkEnd w:id="10000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本计划书旨在为 iPSC（诱导性多能干细胞）实验室打造一套数字化生产管理系统。与传统的实验室信息管理系统（LIMS）不同，本系统的核心创新在于采用“双模式交互架构”——同时支持 AI 对话式操作与传统表单操作，两种模式共享统一的业务逻辑和数据层。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架构设计的核心原理是“意图层抽象”：无论用户通过表单填写还是与 AI 对话，其操作意图都会被转化为统一的意图对象，经由相同的应用服务层处理，最终作用于数据库。这一设计使得 AI 能力的引入不需要重写业务逻辑，而只需实现一个新的意图解析器。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MVP（最小可行产品）阶段聚焦于 iPSC 细胞产品线，覆盖批次管理、电子批生产记录（eBPR）、质检管理、分析证明书（CoA）、追溯查询等核心模块。同时，为后续 AI 模式的引入预建了七项架构准备，包括独立状态机服务、统一校验服务、统一审计日志、操作意图层、上下文服务、确认卡片协议和模板可编程接口。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本项目采用 AI 辅助开发方式，由 1–2 名开发者执行，总周期约 16 周。技术栈基于 Next.js 16 + TypeScript + SQLite + Prisma ORM，并集成 z-ai-web-dev-sdk 作为后端 AI 能力接口。这种组合在保证系统可靠性的同时，大幅提升了开发效率。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2. 现状与问题分析</w:t>
      </w:r>
      <w:bookmarkEnd w:id="100002"/>
    </w:p>
    <w:p>
      <w:pPr>
        <w:pStyle w:val="Heading2"/>
        <w:spacing w:after="120" w:before="240" w:line="312"/>
      </w:pPr>
      <w:bookmarkStart w:id="100003" w:name="_Toc10000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行业背景</w:t>
      </w:r>
      <w:bookmarkEnd w:id="10000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随着再生医学和细胞治疗技术的快速发展，iPSC 实验室的数字化转型已成为行业必然趋势。当前，iPSC 实验室的业务通常涵盖三大产品线：服务项目（为客户提供定制化细胞培养服务）、现货细胞产品（标准化细胞产品销售）以及试剂盒（培养基、分化试剂等）。然而，大多数实验室仍依赖纸质记录和手工操作，面临数据孤岛、可追溯性不足、重复性表单填写等突出痛点。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传统 LIMS 方案的局限</w:t>
      </w:r>
      <w:bookmarkEnd w:id="10000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传统 LIMS 系统采用“表单绑定架构”：业务逻辑直接嵌入在 UI 组件中，前端控制器承载了校验规则和状态机逻辑。这种架构存在显著局限：首先，由于业务逻辑与界面紧耦合，无法为 AI 模式提供统一的业务规则接口；其次，多产品线配置的维护成本极高，每增加一个产品线就需要开发一套完整的表单和流程；最后，日常重复性操作的用户体验较差，实验人员需要反复填写相似的表单字段。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 双模式架构的必要性</w:t>
      </w:r>
      <w:bookmarkEnd w:id="10000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为解决传统 LIMS 的局限，本系统提出“双模式架构”。其核心思路是：表单 UI 和 AI 对话都是系统的等价入口，它们通过统一的“意图层”将用户操作意图传递给应用服务层，再由应用服务层调用域层的状态机和校验规则，最终作用于数据库。架构链路为：表单/AI → 意图层 → 应用服务 → 数据库。下表对比了三种架构方案的差异：</w:t>
      </w:r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传统 LIMS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AI 驱动对话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本方案：双模式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用户入口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仅表单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仅 AI 对话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表单 + AI 对话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业务逻辑位置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前端 UI 组件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后端 LLM 模型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独立应用服务层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数据校验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前端表单验证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LLM 自行判断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统一校验服务 API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状态管理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按钮事件硬编码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提示词驱动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独立状态机服务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可扩展性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低（需重写 UI）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中（依赖 LLM）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高（新增意图即可）</w:t>
            </w:r>
          </w:p>
        </w:tc>
      </w:tr>
    </w:tbl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3. 架构设计与技术选型</w:t>
      </w:r>
      <w:bookmarkEnd w:id="100006"/>
    </w:p>
    <w:p>
      <w:pPr>
        <w:pStyle w:val="Heading2"/>
        <w:spacing w:after="120" w:before="240" w:line="312"/>
      </w:pPr>
      <w:bookmarkStart w:id="100007" w:name="_Toc10000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3.1 架构核心：意图层抽象</w:t>
      </w:r>
      <w:bookmarkEnd w:id="10000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本系统采用分层架构设计，各层职责清晰、耦合度低。表现层包含表单 UI 和 AI 对话 UI 两个并行入口，它们将用户的操作意图转化为统一的意图对象。意图层负责意图的解析、映射和转发，是表单模式和 AI 模式共享业务逻辑的关键抽象。应用服务层承载纯粹的业务逻辑，包括批次管理、eBPR 流程、质检判定等。域层包含状态机定义、校验规则和业务约束。数据层通过 Prisma ORM 提供统一的数据访问接口。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3.2 技术栈选型</w:t>
      </w:r>
      <w:bookmarkEnd w:id="100008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前端框架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Next.js 16 + TypeScript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App Router、SSR、全栈统一，适合 AI 辅助开发快速迭代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UI 组件库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shadcn/ui + Tailwind CSS 4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组件可定制、无锁定、设计系统完整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SQLite + Prisma ORM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零运维、类型安全，实验室场景并发量不大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认证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NextAuth.js v4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轻量 RBAC，支持多角色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状态管理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Zustand + TanStack Query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客户端 + 服务端状态分离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SDK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z-ai-web-dev-sdk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LLM、VLM、ASR、TTS 能力集成</w:t>
            </w:r>
          </w:p>
        </w:tc>
      </w:tr>
    </w:tbl>
    <w:p>
      <w:pPr>
        <w:pStyle w:val="Heading2"/>
        <w:spacing w:after="120" w:before="240" w:line="312"/>
      </w:pPr>
      <w:bookmarkStart w:id="100009" w:name="_Toc10000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3.3 AI 辅助开发的技术约束</w:t>
      </w:r>
      <w:bookmarkEnd w:id="100009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SDK 仅后端使用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z-ai-web-dev-sdk 在 API Route 中调用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前端不直接调用 AI 模型，确保安全和可控性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流水线优先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每个模块先完成前端 UI 再补后端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让用户尽早看到可视化结果，及时调整方向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接口先行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API Route 先于业务逻辑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先定义清晰的接口契约，AI 生成代码更准确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模块独立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单个文件完成单个职责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降低 AI 理解上下文的难度，减少幻觉</w:t>
            </w:r>
          </w:p>
        </w:tc>
      </w:tr>
    </w:tbl>
    <w:p>
      <w:pPr>
        <w:pStyle w:val="Heading1"/>
        <w:spacing w:after="160" w:before="360" w:line="312"/>
      </w:pPr>
      <w:bookmarkStart w:id="100010" w:name="_Toc10001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4. 七项架构准备</w:t>
      </w:r>
      <w:bookmarkEnd w:id="100010"/>
    </w:p>
    <w:p>
      <w:pPr>
        <w:pStyle w:val="Heading2"/>
        <w:spacing w:after="120" w:before="240" w:line="312"/>
      </w:pPr>
      <w:bookmarkStart w:id="100011" w:name="_Toc10001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 概述</w:t>
      </w:r>
      <w:bookmarkEnd w:id="1000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七项架构准备是本系统实现双模式共存的基础设施。它们在 MVP 阶段以硬编码形式预建，确保表单模式可以正常工作；同时，它们的接口设计充分考虑了 AI 模式的需求，使得后续阶段可以无缝扩展。这七项准备包括：独立状态机服务、统一校验服务、统一审计日志、操作意图层、上下文服务、确认卡片协议和模板可编程接口。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 优先级矩阵</w:t>
      </w:r>
      <w:bookmarkEnd w:id="100012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准备项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MVP 阶段要求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后续阶段补充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独立状态机服务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完整实现，支持全部状态流转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增加自定义状态流配置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统一校验服务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后端校验 API，表单可调用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增加更多业务规则校验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统一审计日志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单一审计表，含 input_mode 字段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模式下的对话原文保存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操作意图层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硬编码意图映射，表单通过意图层提交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意图注册表 + 动态意图加载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上下文服务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基础版本，提供批次当前状态和历史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完整上下文（默认值、下一步提示）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确认卡片协议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数据结构定义 + 表单模式渲染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模式的智能提取 + 置信度标记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模板可编程接口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硬编码 eBPR 模板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动态模板配置 + ai_hint 字段</w:t>
            </w:r>
          </w:p>
        </w:tc>
      </w:tr>
    </w:tbl>
    <w:p>
      <w:pPr>
        <w:pStyle w:val="Heading2"/>
        <w:spacing w:after="120" w:before="240" w:line="312"/>
      </w:pPr>
      <w:bookmarkStart w:id="100013" w:name="_Toc10001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4.3 每项准备的简明说明</w:t>
      </w:r>
      <w:bookmarkEnd w:id="100013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独立状态机服务：</w:t>
      </w:r>
      <w:r>
        <w:rPr>
          <w:rFonts w:ascii="Times New Roman" w:eastAsia="SimSun"/>
          <w:color w:val="000000"/>
          <w:sz w:val="24"/>
          <w:szCs w:val="24"/>
        </w:rPr>
        <w:t xml:space="preserve">将批次状态的转换规则从 UI 组件中抽离出来，成为独立的服务。任何模式（表单或 AI）都通过调用状态机 API 来推进状态流转，确保状态一致性。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统一校验服务：</w:t>
      </w:r>
      <w:r>
        <w:rPr>
          <w:rFonts w:ascii="Times New Roman" w:eastAsia="SimSun"/>
          <w:color w:val="000000"/>
          <w:sz w:val="24"/>
          <w:szCs w:val="24"/>
        </w:rPr>
        <w:t xml:space="preserve">提供统一的后端校验 API，表单模式和 AI 模式都通过调用同一个校验接口来验证数据。校验规则来自产品模板配置，支持动态扩展。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统一审计日志：</w:t>
      </w:r>
      <w:r>
        <w:rPr>
          <w:rFonts w:ascii="Times New Roman" w:eastAsia="SimSun"/>
          <w:color w:val="000000"/>
          <w:sz w:val="24"/>
          <w:szCs w:val="24"/>
        </w:rPr>
        <w:t xml:space="preserve">所有操作记录统一存储在同一张审计表中，包含 input_mode 字段标识操作来源（表单或 AI）。这为追溯和合规审计提供了基础。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操作意图层：</w:t>
      </w:r>
      <w:r>
        <w:rPr>
          <w:rFonts w:ascii="Times New Roman" w:eastAsia="SimSun"/>
          <w:color w:val="000000"/>
          <w:sz w:val="24"/>
          <w:szCs w:val="24"/>
        </w:rPr>
        <w:t xml:space="preserve">将用户操作抽象为统一的意图对象。MVP 阶段采用硬编码意图映射，表单提交先转化为意图再执行，为 AI 模式的意图解析器提供接口。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上下文服务：</w:t>
      </w:r>
      <w:r>
        <w:rPr>
          <w:rFonts w:ascii="Times New Roman" w:eastAsia="SimSun"/>
          <w:color w:val="000000"/>
          <w:sz w:val="24"/>
          <w:szCs w:val="24"/>
        </w:rPr>
        <w:t xml:space="preserve">为 AI 对话提供批次的当前状态、历史操作和相关数据。MVP 阶段提供基础版本，后续扩展为包含默认值和下一步提示的完整版本。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确认卡片协议：</w:t>
      </w:r>
      <w:r>
        <w:rPr>
          <w:rFonts w:ascii="Times New Roman" w:eastAsia="SimSun"/>
          <w:color w:val="000000"/>
          <w:sz w:val="24"/>
          <w:szCs w:val="24"/>
        </w:rPr>
        <w:t xml:space="preserve">定义 AI 理解用户意图后向用户展示的确认卡片数据结构。MVP 阶段仅实现表单模式的渲染，后续扩展为含置信度标记的智能提取模式。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模板可编程接口：</w:t>
      </w:r>
      <w:r>
        <w:rPr>
          <w:rFonts w:ascii="Times New Roman" w:eastAsia="SimSun"/>
          <w:color w:val="000000"/>
          <w:sz w:val="24"/>
          <w:szCs w:val="24"/>
        </w:rPr>
        <w:t xml:space="preserve">将 eBPR 步骤模板抽象为可配置的数据结构。MVP 阶段采用硬编码模板，后续扩展为动态配置并增加 ai_hint 字段以支持 AI 自动填写。</w:t>
      </w:r>
    </w:p>
    <w:p>
      <w:pPr>
        <w:pStyle w:val="Heading1"/>
        <w:spacing w:after="160" w:before="360" w:line="312"/>
      </w:pPr>
      <w:bookmarkStart w:id="100014" w:name="_Toc100014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5. MVP 功能范围（阶段一）</w:t>
      </w:r>
      <w:bookmarkEnd w:id="100014"/>
    </w:p>
    <w:p>
      <w:pPr>
        <w:pStyle w:val="Heading2"/>
        <w:spacing w:after="120" w:before="240" w:line="312"/>
      </w:pPr>
      <w:bookmarkStart w:id="100015" w:name="_Toc10001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5.1 MVP 定位</w:t>
      </w:r>
      <w:bookmarkEnd w:id="1000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MVP 阶段聚焦于 iPSC 细胞产品线，这是标准化程度最高的业务线。其他两条产品线在 MVP 阶段仅提供基础支持。</w:t>
      </w:r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产品线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MVP 状态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iPSC 细胞产品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完整支持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流程标准化程度最高</w:t>
            </w:r>
          </w:p>
        </w:tc>
      </w:tr>
      <w:tr>
        <w:trPr>
          <w:cantSplit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服务项目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基础批次管理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待扩展阶段完善 eBPR 和质检</w:t>
            </w:r>
          </w:p>
        </w:tc>
      </w:tr>
      <w:tr>
        <w:trPr>
          <w:cantSplit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试剂盒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仅基础配置</w:t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非核心业务，后期迭代</w:t>
            </w:r>
          </w:p>
        </w:tc>
      </w:tr>
    </w:tbl>
    <w:p>
      <w:pPr>
        <w:pStyle w:val="Heading2"/>
        <w:spacing w:after="120" w:before="240" w:line="312"/>
      </w:pPr>
      <w:bookmarkStart w:id="100016" w:name="_Toc10001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5.2 核心功能模块</w:t>
      </w:r>
      <w:bookmarkEnd w:id="100016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功能点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架构约束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批次管理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创建、状态流转、详情、列表筛选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通过状态机 API 管理状态，禁止直接修改状态字段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eBPR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步骤引导录入、物料录入、附件上传、异常上报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表单提交必须通过意图层 + 校验服务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质检管理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质检任务创建、结果录入、自动判定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校验规则来自产品模板，通过校验 API 调用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CoA 管理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CoA 草稿生成、审核流程、PDF 导出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从质检数据自动流转，含电子签名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追溯查询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批次生命周期、物料追溯、时间线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基于统一审计日志查询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基础配置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用户管理、角色权限 (RBAC)、基础数据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NextAuth.js + 业务角色权限系统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000000"/>
                <w:sz w:val="21"/>
                <w:szCs w:val="21"/>
              </w:rPr>
              <w:t xml:space="preserve">物料扫码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扫码录入物料批号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作为意图参数的快捷输入方式</w:t>
            </w:r>
          </w:p>
        </w:tc>
      </w:tr>
    </w:tbl>
    <w:p>
      <w:pPr>
        <w:pStyle w:val="Heading2"/>
        <w:spacing w:after="120" w:before="240" w:line="312"/>
      </w:pPr>
      <w:bookmarkStart w:id="100017" w:name="_Toc10001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5.3 MVP 明确不包含的功能</w:t>
      </w:r>
      <w:bookmarkEnd w:id="100017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搁置原因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计划阶段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对话工作台界面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MVP 仅做架构准备，不开发 AI UI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阶段二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服务项目完整 eBPR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服务项目流程差异大，需独立模板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阶段二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高级报表统计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属于增值功能，不影响核心流程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阶段三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图片分析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需要专业训练数据和模型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阶段三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系统集成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需要接口对接，可后期实现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阶段三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语音输入 (ASR)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依赖后端服务，待对话工作台一起开发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阶段二</w:t>
            </w:r>
          </w:p>
        </w:tc>
      </w:tr>
    </w:tbl>
    <w:p>
      <w:pPr>
        <w:pStyle w:val="Heading1"/>
        <w:spacing w:after="160" w:before="360" w:line="312"/>
      </w:pPr>
      <w:bookmarkStart w:id="100018" w:name="_Toc100018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6. 分阶段开发计划</w:t>
      </w:r>
      <w:bookmarkEnd w:id="100018"/>
    </w:p>
    <w:p>
      <w:pPr>
        <w:pStyle w:val="Heading2"/>
        <w:spacing w:after="120" w:before="240" w:line="312"/>
      </w:pPr>
      <w:bookmarkStart w:id="100019" w:name="_Toc10001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6.1 总体规划</w:t>
      </w:r>
      <w:bookmarkEnd w:id="100019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周期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核心目标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阶段一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MVP 核心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1–8 周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实现表单模式全流程，完成架构准备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阶段二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能力集成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9–12 周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开发 AI 对话工作台，扩展服务项目支持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阶段三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扩展与优化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13–16 周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配置化架构、报表、高级 AI 功能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阶段四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测试与上线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17–18 周</w:t>
            </w:r>
          </w:p>
        </w:tc>
        <w:tc>
          <w:tcPr>
            <w:tcW w:type="pct" w:w="4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系统测试、用户培训、正式上线</w:t>
            </w:r>
          </w:p>
        </w:tc>
      </w:tr>
    </w:tbl>
    <w:p>
      <w:pPr>
        <w:pStyle w:val="Heading2"/>
        <w:spacing w:after="120" w:before="240" w:line="312"/>
      </w:pPr>
      <w:bookmarkStart w:id="100020" w:name="_Toc10002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6.2 阶段一详细拆解（MVP — 第 1–8 周）</w:t>
      </w:r>
      <w:bookmarkEnd w:id="100020"/>
    </w:p>
    <w:p>
      <w:pPr>
        <w:pStyle w:val="Heading3"/>
        <w:spacing w:after="100" w:before="200" w:line="312"/>
      </w:pPr>
      <w:bookmarkStart w:id="100021" w:name="_Toc100021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第 1–2 周：基础架构搭建</w:t>
      </w:r>
      <w:bookmarkEnd w:id="1000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完成数据库 Schema 设计（Prisma）、认证系统（NextAuth.js + RBAC）、P0 架构项目原型（状态机核心 + 校验服务骨架 + 审计日志表）、项目基础设施（布局、路由、错误处理、API 约定）。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里程碑：</w:t>
      </w:r>
      <w:r>
        <w:rPr>
          <w:rFonts w:ascii="Times New Roman" w:eastAsia="SimSun"/>
          <w:color w:val="000000"/>
          <w:sz w:val="24"/>
          <w:szCs w:val="24"/>
        </w:rPr>
        <w:t xml:space="preserve">能够创建用户、登录、权限控制正常工作。</w:t>
      </w:r>
    </w:p>
    <w:p>
      <w:pPr>
        <w:pStyle w:val="Heading3"/>
        <w:spacing w:after="100" w:before="200" w:line="312"/>
      </w:pPr>
      <w:bookmarkStart w:id="100022" w:name="_Toc100022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第 3–4 周：批次管理 + eBPR</w:t>
      </w:r>
      <w:bookmarkEnd w:id="10002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实现批次 CRUD 及通过状态机 API 进行状态管理、eBPR 步骤引导表单及通过意图层提交、物料录入及附件上传、异常上报作为意图提交。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里程碑：</w:t>
      </w:r>
      <w:r>
        <w:rPr>
          <w:rFonts w:ascii="Times New Roman" w:eastAsia="SimSun"/>
          <w:color w:val="000000"/>
          <w:sz w:val="24"/>
          <w:szCs w:val="24"/>
        </w:rPr>
        <w:t xml:space="preserve">能够创建批次并完成生产记录录入。</w:t>
      </w:r>
    </w:p>
    <w:p>
      <w:pPr>
        <w:pStyle w:val="Heading3"/>
        <w:spacing w:after="100" w:before="200" w:line="312"/>
      </w:pPr>
      <w:bookmarkStart w:id="100023" w:name="_Toc100023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第 5–6 周：质检 + CoA</w:t>
      </w:r>
      <w:bookmarkEnd w:id="10002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实现质检任务创建、结果录入及自动判定、CoA 草稿从质检数据自动生成、审核工作流及电子签名、PDF 导出功能。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里程碑：</w:t>
      </w:r>
      <w:r>
        <w:rPr>
          <w:rFonts w:ascii="Times New Roman" w:eastAsia="SimSun"/>
          <w:color w:val="000000"/>
          <w:sz w:val="24"/>
          <w:szCs w:val="24"/>
        </w:rPr>
        <w:t xml:space="preserve">能够完成质检全流程并生成 CoA。</w:t>
      </w:r>
    </w:p>
    <w:p>
      <w:pPr>
        <w:pStyle w:val="Heading3"/>
        <w:spacing w:after="100" w:before="200" w:line="312"/>
      </w:pPr>
      <w:bookmarkStart w:id="100024" w:name="_Toc100024"/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第 7–8 周：追溯 + 配置 + 联调</w:t>
      </w:r>
      <w:bookmarkEnd w:id="1000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实现批次生命周期追溯及物料追溯、基础数据管理（物料、设备、产品模板）、上下文服务基础版本、端到端集成测试、MVP 内部演示。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里程碑：</w:t>
      </w:r>
      <w:r>
        <w:rPr>
          <w:rFonts w:ascii="Times New Roman" w:eastAsia="SimSun"/>
          <w:color w:val="000000"/>
          <w:sz w:val="24"/>
          <w:szCs w:val="24"/>
        </w:rPr>
        <w:t xml:space="preserve">MVP 完成，可进行内部演示。</w:t>
      </w:r>
    </w:p>
    <w:p>
      <w:pPr>
        <w:pStyle w:val="Heading2"/>
        <w:spacing w:after="120" w:before="240" w:line="312"/>
      </w:pPr>
      <w:bookmarkStart w:id="100025" w:name="_Toc10002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6.3 阶段二详细拆解（AI 集成 — 第 9–12 周）</w:t>
      </w:r>
      <w:bookmarkEnd w:id="10002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阶段二的核心是开发 AI 对话引擎（后端 LLM 集成）、对话工作空 UI（左侧边栏 + 右侧对话）、确认卡片协议实现（含置信度显示）、服务项目 eBPR 模板、模式切换机制（表单 ↔ 对话）、上下文服务完整版本（默认值、下一步提示）。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里程碑：</w:t>
      </w:r>
      <w:r>
        <w:rPr>
          <w:rFonts w:ascii="Times New Roman" w:eastAsia="SimSun"/>
          <w:color w:val="000000"/>
          <w:sz w:val="24"/>
          <w:szCs w:val="24"/>
        </w:rPr>
        <w:t xml:space="preserve">AI 对话模式可用，与表单模式无缝切换。</w:t>
      </w:r>
    </w:p>
    <w:p>
      <w:pPr>
        <w:pStyle w:val="Heading2"/>
        <w:spacing w:after="120" w:before="240" w:line="312"/>
      </w:pPr>
      <w:bookmarkStart w:id="100026" w:name="_Toc10002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6.4 阶段三 + 四简述</w:t>
      </w:r>
      <w:bookmarkEnd w:id="10002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阶段三（第 13–16 周）聚焦于扩展与优化：配置化架构支持（动态状态流、模板配置）、报表与数据可视化、高级 AI 功能（图片分析、语音输入）。阶段四（第 17–18 周）进行系统测试、用户培训、正式上线。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7. AI 辅助开发策略</w:t>
      </w:r>
      <w:bookmarkEnd w:id="100027"/>
    </w:p>
    <w:p>
      <w:pPr>
        <w:pStyle w:val="Heading2"/>
        <w:spacing w:after="120" w:before="240" w:line="312"/>
      </w:pPr>
      <w:bookmarkStart w:id="100028" w:name="_Toc10002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7.1 团队配置</w:t>
      </w:r>
      <w:bookmarkEnd w:id="100028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人数</w:t>
            </w:r>
          </w:p>
        </w:tc>
        <w:tc>
          <w:tcPr>
            <w:tcW w:type="pct" w:w="3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AI 辅助方式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产品经理/业务专家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3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业务流程梳理、需求确认、验收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提供清晰业务描述，由 AI 生成 PRD 和接口定义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全栈开发者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1–2</w:t>
            </w:r>
          </w:p>
        </w:tc>
        <w:tc>
          <w:tcPr>
            <w:tcW w:type="pct" w:w="3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前后端开发、数据库设计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生成代码、单元测试、文档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QA/测试</w:t>
            </w:r>
          </w:p>
        </w:tc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0.5</w:t>
            </w:r>
          </w:p>
        </w:tc>
        <w:tc>
          <w:tcPr>
            <w:tcW w:type="pct" w:w="3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测试用例设计、回归测试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生成测试用例，人工执行和判断</w:t>
            </w:r>
          </w:p>
        </w:tc>
      </w:tr>
    </w:tbl>
    <w:p>
      <w:pPr>
        <w:pStyle w:val="Heading2"/>
        <w:spacing w:after="120" w:before="240" w:line="312"/>
      </w:pPr>
      <w:bookmarkStart w:id="100029" w:name="_Toc10002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7.2 AI 辅助开发的最佳实践</w:t>
      </w:r>
      <w:bookmarkEnd w:id="100029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接口契约先行：</w:t>
      </w:r>
      <w:r>
        <w:rPr>
          <w:rFonts w:ascii="Times New Roman" w:eastAsia="SimSun"/>
          <w:color w:val="000000"/>
          <w:sz w:val="24"/>
          <w:szCs w:val="24"/>
        </w:rPr>
        <w:t xml:space="preserve">在代码生成之前，先定义清晰的 API 接口契约（请求/响应类型）。AI 在有明确 TypeScript 接口定义的情况下生成的代码更准确，这是提升 AI 辅助开发效率的关键。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小步骤、高频率：</w:t>
      </w:r>
      <w:r>
        <w:rPr>
          <w:rFonts w:ascii="Times New Roman" w:eastAsia="SimSun"/>
          <w:color w:val="000000"/>
          <w:sz w:val="24"/>
          <w:szCs w:val="24"/>
        </w:rPr>
        <w:t xml:space="preserve">每次 AI 交互应该是一个小而明确的任务。例如“创建批次管理的 Prisma Schema”而非“构建整个批次模块”。小任务可以更快地验证和纠错。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业务逻辑由人编写：</w:t>
      </w:r>
      <w:r>
        <w:rPr>
          <w:rFonts w:ascii="Times New Roman" w:eastAsia="SimSun"/>
          <w:color w:val="000000"/>
          <w:sz w:val="24"/>
          <w:szCs w:val="24"/>
        </w:rPr>
        <w:t xml:space="preserve">AI 擅长生成样板代码和基础设施，但对于关键的业务逻辑（状态机转换、校验规则）应该由人类编写或仔细审查。业务专家必须理解每一行生成代码的含义。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代码审查不可省略：</w:t>
      </w:r>
      <w:r>
        <w:rPr>
          <w:rFonts w:ascii="Times New Roman" w:eastAsia="SimSun"/>
          <w:color w:val="000000"/>
          <w:sz w:val="24"/>
          <w:szCs w:val="24"/>
        </w:rPr>
        <w:t xml:space="preserve">AI 生成的代码必须经过人工审查。重点关注：业务逻辑的正确性、边界情况的处理、类型安全性。不能因为代码能跑就直接合并。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先前端后后端的流水线：</w:t>
      </w:r>
      <w:r>
        <w:rPr>
          <w:rFonts w:ascii="Times New Roman" w:eastAsia="SimSun"/>
          <w:color w:val="000000"/>
          <w:sz w:val="24"/>
          <w:szCs w:val="24"/>
        </w:rPr>
        <w:t xml:space="preserve">先用 Mock 数据构建 UI，然后再实现 API Route。这样可以尽早获得可视化反馈，及时发现方向偏差，避免大量后端代码推倒重来。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测试策略：</w:t>
      </w:r>
      <w:r>
        <w:rPr>
          <w:rFonts w:ascii="Times New Roman" w:eastAsia="SimSun"/>
          <w:color w:val="000000"/>
          <w:sz w:val="24"/>
          <w:szCs w:val="24"/>
        </w:rPr>
        <w:t xml:space="preserve">AI 可以生成测试用例，但测试质量和覆盖率的判断仍需要人类智慧。关键业务路径的测试应该由人类设计，AI 辅助生成具体实现。</w:t>
      </w:r>
    </w:p>
    <w:p>
      <w:pPr>
        <w:pStyle w:val="Heading2"/>
        <w:spacing w:after="120" w:before="240" w:line="312"/>
      </w:pPr>
      <w:bookmarkStart w:id="100030" w:name="_Toc10003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7.3 AI 辅助开发的风险与应对</w:t>
      </w:r>
      <w:bookmarkEnd w:id="100030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业务逻辑错误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关键业务逻辑由人编写，AI 负责样板代码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类型安全假象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严格 TypeScript 配置，禁止 any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上下文丢失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每次交互提供完整上下文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过度依赖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业务专家必须理解生成代码的每一行</w:t>
            </w:r>
          </w:p>
        </w:tc>
      </w:tr>
    </w:tbl>
    <w:p>
      <w:pPr>
        <w:pStyle w:val="Heading1"/>
        <w:spacing w:after="160" w:before="360" w:line="312"/>
      </w:pPr>
      <w:bookmarkStart w:id="100031" w:name="_Toc100031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8. 风险管理</w:t>
      </w:r>
      <w:bookmarkEnd w:id="100031"/>
    </w:p>
    <w:p>
      <w:pPr>
        <w:pStyle w:val="Heading2"/>
        <w:spacing w:after="120" w:before="240" w:line="312"/>
      </w:pPr>
      <w:bookmarkStart w:id="100032" w:name="_Toc10003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8.1 项目风险矩阵</w:t>
      </w:r>
      <w:bookmarkEnd w:id="100032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影响程度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发生概率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需求变更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意图层架构天然支持扩展，新功能作为新意图添加</w:t>
            </w:r>
          </w:p>
        </w:tc>
      </w:tr>
      <w:tr>
        <w:trPr>
          <w:cantSplit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能力不达预期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双模式设计确保表单模式始终可用</w:t>
            </w:r>
          </w:p>
        </w:tc>
      </w:tr>
      <w:tr>
        <w:trPr>
          <w:cantSplit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技术难点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状态机、校验服务等基础设施已有成熟模式</w:t>
            </w:r>
          </w:p>
        </w:tc>
      </w:tr>
      <w:tr>
        <w:trPr>
          <w:cantSplit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团队人员变动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高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业务专家 + 架构文档确保知识传递</w:t>
            </w:r>
          </w:p>
        </w:tc>
      </w:tr>
      <w:tr>
        <w:trPr>
          <w:cantSplit/>
        </w:trPr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LLM API 不可用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自动降级到表单模式，用户无感知</w:t>
            </w:r>
          </w:p>
        </w:tc>
      </w:tr>
    </w:tbl>
    <w:p>
      <w:pPr>
        <w:pStyle w:val="Heading2"/>
        <w:spacing w:after="120" w:before="240" w:line="312"/>
      </w:pPr>
      <w:bookmarkStart w:id="100033" w:name="_Toc10003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8.2 风险监控机制</w:t>
      </w:r>
      <w:bookmarkEnd w:id="10003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项目将建立双周例会审查机制，由业务专家和开发团队共同参与。风险登记表维护在项目文档中，每个阶段门缞进行架构评审，确保及时发现和应对潜在风险。</w:t>
      </w:r>
    </w:p>
    <w:p>
      <w:pPr>
        <w:pStyle w:val="Heading1"/>
        <w:spacing w:after="160" w:before="360" w:line="312"/>
      </w:pPr>
      <w:bookmarkStart w:id="100034" w:name="_Toc100034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9. 质量保证</w:t>
      </w:r>
      <w:bookmarkEnd w:id="100034"/>
    </w:p>
    <w:p>
      <w:pPr>
        <w:pStyle w:val="Heading2"/>
        <w:spacing w:after="120" w:before="240" w:line="312"/>
      </w:pPr>
      <w:bookmarkStart w:id="100035" w:name="_Toc10003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9.1 代码质量</w:t>
      </w:r>
      <w:bookmarkEnd w:id="10003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项目采用 TypeScript 严格模式，禁止使用 any 类型。统一使用 ESLint + Prettier 进行代码格式化。AI 生成的代码必须经过人工审查后才能合并。所有 API 接口必须以 TypeScript 接口定义的形式在实现之前完成。</w:t>
      </w:r>
    </w:p>
    <w:p>
      <w:pPr>
        <w:pStyle w:val="Heading2"/>
        <w:spacing w:after="120" w:before="240" w:line="312"/>
      </w:pPr>
      <w:bookmarkStart w:id="100036" w:name="_Toc10003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9.2 测试策略</w:t>
      </w:r>
      <w:bookmarkEnd w:id="10003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状态机、校验服务、意图层的单元测试由人类编写，确保核心业务逻辑的正确性。关键业务路径的集成测试可由 AI 生成、人工审查。完整的批次生命周期进行端到端测试。API 响应时间要求 95% 的请求在 500ms 以内。</w:t>
      </w:r>
    </w:p>
    <w:p>
      <w:pPr>
        <w:pStyle w:val="Heading2"/>
        <w:spacing w:after="120" w:before="240" w:line="312"/>
      </w:pPr>
      <w:bookmarkStart w:id="100037" w:name="_Toc10003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9.3 文档管理</w:t>
      </w:r>
      <w:bookmarkEnd w:id="10003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架构文档（本文档）记录系统设计决策。API 文档从 TypeScript 接口定义自动生成。每个阶段交付前创建用户操作手册。每次意图或 Schema 的修改都要记录变更日志。</w:t>
      </w:r>
    </w:p>
    <w:p>
      <w:pPr>
        <w:pStyle w:val="Heading1"/>
        <w:spacing w:after="160" w:before="360" w:line="312"/>
      </w:pPr>
      <w:bookmarkStart w:id="100038" w:name="_Toc100038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10. 预期效果与评估</w:t>
      </w:r>
      <w:bookmarkEnd w:id="100038"/>
    </w:p>
    <w:p>
      <w:pPr>
        <w:pStyle w:val="Heading2"/>
        <w:spacing w:after="120" w:before="240" w:line="312"/>
      </w:pPr>
      <w:bookmarkStart w:id="100039" w:name="_Toc10003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10.1 成功标准</w:t>
      </w:r>
      <w:bookmarkEnd w:id="100039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MVP 目标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最终目标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批次全流程数字化率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生产记录录入时间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比纸质减少 30%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比纸质减少 70%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数据可追溯率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用户满意度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≥80%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≥90%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AI 对话模式可用性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N/A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≥90% 常规场景可用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系统可用性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≥99%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≥99.9%</w:t>
            </w:r>
          </w:p>
        </w:tc>
      </w:tr>
    </w:tbl>
    <w:p>
      <w:pPr>
        <w:pStyle w:val="Heading2"/>
        <w:spacing w:after="120" w:before="240" w:line="312"/>
      </w:pPr>
      <w:bookmarkStart w:id="100040" w:name="_Toc10004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10.2 核心价值</w:t>
      </w:r>
      <w:bookmarkEnd w:id="100040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短期（MVP）：</w:t>
      </w:r>
      <w:r>
        <w:rPr>
          <w:rFonts w:ascii="Times New Roman" w:eastAsia="SimSun"/>
          <w:color w:val="000000"/>
          <w:sz w:val="24"/>
          <w:szCs w:val="24"/>
        </w:rPr>
        <w:t xml:space="preserve">替代纸质记录，确保数据可追溯性，标准化生产操作流程。实现从原材料接收到 CoA 生成的全流程数字化。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中期（AI 集成）：</w:t>
      </w:r>
      <w:r>
        <w:rPr>
          <w:rFonts w:ascii="Times New Roman" w:eastAsia="SimSun"/>
          <w:color w:val="000000"/>
          <w:sz w:val="24"/>
          <w:szCs w:val="24"/>
        </w:rPr>
        <w:t xml:space="preserve">通过 AI 对话模式减少 60% 以上的重复性数据录入，支持语音录入实现免提操作，显著提升实验人员的工作效率。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长期：</w:t>
      </w:r>
      <w:r>
        <w:rPr>
          <w:rFonts w:ascii="Times New Roman" w:eastAsia="SimSun"/>
          <w:color w:val="000000"/>
          <w:sz w:val="24"/>
          <w:szCs w:val="24"/>
        </w:rPr>
        <w:t xml:space="preserve">基于积累的数据进行数据驱动的质量改进，AI 辅助的异常检测，以及预测性生产调度。</w:t>
      </w:r>
    </w:p>
    <w:p>
      <w:pPr>
        <w:pStyle w:val="Heading1"/>
        <w:spacing w:after="160" w:before="360" w:line="312"/>
      </w:pPr>
      <w:bookmarkStart w:id="100041" w:name="_Toc100041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11. 附录</w:t>
      </w:r>
      <w:bookmarkEnd w:id="100041"/>
    </w:p>
    <w:p>
      <w:pPr>
        <w:pStyle w:val="Heading2"/>
        <w:spacing w:after="120" w:before="240" w:line="312"/>
      </w:pPr>
      <w:bookmarkStart w:id="100042" w:name="_Toc10004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11.1 词汇表</w:t>
      </w:r>
      <w:bookmarkEnd w:id="100042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英文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iPSC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Induced Pluripotent Stem Cell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诱导性多能干细胞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eBPR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Electronic Batch Production Record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电子批生产记录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CoA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Certificate of Analysis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分析证明书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LIMS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Laboratory Information Management System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实验室信息管理系统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Intent Layer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Intent Layer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操作意图层，统一抽象用户操作意图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State Machine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State Machine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状态机，管理批次状态流转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RBAC</w:t>
            </w:r>
          </w:p>
        </w:tc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Role-Based Access Control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基于角色的访问控制</w:t>
            </w:r>
          </w:p>
        </w:tc>
      </w:tr>
    </w:tbl>
    <w:p>
      <w:pPr>
        <w:pStyle w:val="Heading2"/>
        <w:spacing w:after="120" w:before="240" w:line="312"/>
      </w:pPr>
      <w:bookmarkStart w:id="100043" w:name="_Toc10004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11.2 关键里程碑汇总</w:t>
      </w:r>
      <w:bookmarkEnd w:id="100043"/>
    </w:p>
    <w:p>
      <w:pPr>
        <w:spacing w:after="0" w:before="60"/>
      </w:pP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里程碑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时间节点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完成标准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M1: 基础架构就绪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2 周末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认证、状态机、校验服务原型可用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M2: 批次管理完成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4 周末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能够创建批次并完成 eBPR 录入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M3: 质检 + CoA 完成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6 周末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质检全流程 + 自动生成 CoA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M4: MVP 交付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8 周末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全流程贯通，内部演示通过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M5: AI 对话可用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12 周末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对话模式可完成基本生产记录录入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M6: 全功能交付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16 周末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所有计划功能开发完成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M7: 正式上线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 18 周末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通过验收，生产环境部署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SimSun"/>
        <w:color w:val="888888"/>
        <w:sz w:val="18"/>
        <w:szCs w:val="18"/>
      </w:rPr>
      <w:t xml:space="preserve">iPSC生产管理系统 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00000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2026-04-10T13:58:03.598Z</dcterms:created>
  <dcterms:modified xsi:type="dcterms:W3CDTF">2026-04-10T13:58:03.598Z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