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0"/>
      </w:pPr>
      <w:r>
        <w:t xml:space="preserve">Розклад чинних заходів зі збереження (Schedule of Conservation Measures)</w:t>
      </w:r>
    </w:p>
    <w:p>
      <w:pPr>
        <w:spacing w:after="140"/>
      </w:pPr>
      <w:r>
        <w:rPr>
          <w:b/>
          <w:bCs/>
          <w:sz w:val="20"/>
          <w:szCs w:val="20"/>
        </w:rPr>
        <w:t xml:space="preserve">Джерело: </w:t>
      </w:r>
      <w:r>
        <w:rPr>
          <w:sz w:val="20"/>
          <w:szCs w:val="20"/>
        </w:rPr>
        <w:t xml:space="preserve">EN - schedule 2025-26.pdf</w:t>
      </w:r>
    </w:p>
    <w:p>
      <w:pPr>
        <w:spacing w:after="140"/>
      </w:pPr>
      <w:r>
        <w:rPr>
          <w:b/>
          <w:bCs/>
          <w:sz w:val="20"/>
          <w:szCs w:val="20"/>
        </w:rPr>
        <w:t xml:space="preserve">Розділ сайту: </w:t>
      </w:r>
      <w:r>
        <w:rPr>
          <w:sz w:val="20"/>
          <w:szCs w:val="20"/>
        </w:rPr>
        <w:t xml:space="preserve">2.1 Заходи зі збереження</w:t>
      </w:r>
    </w:p>
    <w:p>
      <w:pPr>
        <w:pBdr>
          <w:left w:val="single" w:color="2E86AB" w:sz="18" w:space="8"/>
        </w:pBdr>
        <w:shd w:fill="EAF1F8" w:val="clear"/>
        <w:spacing w:after="200" w:before="100"/>
      </w:pPr>
      <w:r>
        <w:rPr>
          <w:i/>
          <w:iCs/>
          <w:color w:val="444444"/>
          <w:sz w:val="20"/>
          <w:szCs w:val="20"/>
        </w:rPr>
        <w:t xml:space="preserve">Примітка: Це розгорнутий структурований ПЕРЕКАЗ (own-words summary) змісту документа українською мовою, підготовлений для підготовки до іспиту CCAMLR SISO — НЕ дослівний переклад офіційного тексту. Для точних формулювань, юридично значущих визначень і повних таблиць звертайтесь до оригіналу (розділ «Бібліотека документів», пункт з відповідним джерелом).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1"/>
        <w:spacing w:after="120" w:before="300"/>
      </w:pPr>
      <w:r>
        <w:t xml:space="preserve">Що це за документ і чому він найважливіший</w:t>
      </w:r>
    </w:p>
    <w:p>
      <w:pPr>
        <w:spacing w:after="14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Це щорічно оновлюваний документ, ухвалюваний Комісією CCAMLR на підставі статті IX Конвенції (див. переказ Конвенції, документ 1). З юридичного погляду це найважливіший документ для наукового спостерігача: саме тут — конкретні, чинні для поточного сезону ліміти вилову, райони, сезони промислу та технічні вимоги. Заходи попередніх сезонів автоматично втрачають чинність для нового промислового року, тому працювати можна лише з актуальною редакцією.</w:t>
      </w:r>
    </w:p>
    <w:p>
      <w:pPr>
        <w:spacing w:after="14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Заходи згруповано в серії за номерами: 10 — дотримання правил, 20 — загальні питання промислу (звітність, донний промисел, ВМЕ, прилов птахів/ссавців), 30 — загальні промислові заходи (сезони, заборони), 33 — ліміти прилову, 41 — іклач (Dissostichus spp.), 42 — крижана риба, 51 — криль, 90 — охоронювані території.</w:t>
      </w:r>
    </w:p>
    <w:p>
      <w:pPr>
        <w:pStyle w:val="Heading1"/>
        <w:spacing w:after="120" w:before="300"/>
      </w:pPr>
      <w:r>
        <w:t xml:space="preserve">Повний перелік заходів за серіями</w:t>
      </w:r>
    </w:p>
    <w:p>
      <w:pPr>
        <w:pStyle w:val="Heading2"/>
        <w:spacing w:after="100" w:before="200"/>
      </w:pPr>
      <w:r>
        <w:t xml:space="preserve">Дотримання (серія 10)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7"/>
        <w:gridCol w:w="7293"/>
      </w:tblGrid>
      <w:tr>
        <w:trPr>
          <w:tblHeader/>
        </w:trPr>
        <w:tc>
          <w:tcPr>
            <w:tcW w:type="dxa" w:w="2057"/>
            <w:shd w:fill="1F4E79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№ CM</w:t>
            </w:r>
          </w:p>
        </w:tc>
        <w:tc>
          <w:tcPr>
            <w:tcW w:type="dxa" w:w="7293"/>
            <w:shd w:fill="1F4E79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Назва / застосування</w:t>
            </w:r>
          </w:p>
        </w:tc>
      </w:tr>
      <w:tr>
        <w:tc>
          <w:tcPr>
            <w:tcW w:type="dxa" w:w="2057"/>
          </w:tcPr>
          <w:p>
            <w:r>
              <w:rPr>
                <w:sz w:val="20"/>
                <w:szCs w:val="20"/>
              </w:rPr>
              <w:t xml:space="preserve">10-01 (2014)</w:t>
            </w:r>
          </w:p>
        </w:tc>
        <w:tc>
          <w:tcPr>
            <w:tcW w:type="dxa" w:w="7293"/>
          </w:tcPr>
          <w:p>
            <w:r>
              <w:rPr>
                <w:sz w:val="20"/>
                <w:szCs w:val="20"/>
              </w:rPr>
              <w:t xml:space="preserve">Маркування риболовних суден і знарядь лову</w:t>
            </w:r>
          </w:p>
        </w:tc>
      </w:tr>
      <w:tr>
        <w:tc>
          <w:tcPr>
            <w:tcW w:type="dxa" w:w="2057"/>
          </w:tcPr>
          <w:p>
            <w:r>
              <w:rPr>
                <w:sz w:val="20"/>
                <w:szCs w:val="20"/>
              </w:rPr>
              <w:t xml:space="preserve">10-02 (2022)</w:t>
            </w:r>
          </w:p>
        </w:tc>
        <w:tc>
          <w:tcPr>
            <w:tcW w:type="dxa" w:w="7293"/>
          </w:tcPr>
          <w:p>
            <w:r>
              <w:rPr>
                <w:sz w:val="20"/>
                <w:szCs w:val="20"/>
              </w:rPr>
              <w:t xml:space="preserve">Ліцензування та інспекційні зобов'язання держав прапора</w:t>
            </w:r>
          </w:p>
        </w:tc>
      </w:tr>
      <w:tr>
        <w:tc>
          <w:tcPr>
            <w:tcW w:type="dxa" w:w="2057"/>
          </w:tcPr>
          <w:p>
            <w:r>
              <w:rPr>
                <w:sz w:val="20"/>
                <w:szCs w:val="20"/>
              </w:rPr>
              <w:t xml:space="preserve">10-03 (2025)</w:t>
            </w:r>
          </w:p>
        </w:tc>
        <w:tc>
          <w:tcPr>
            <w:tcW w:type="dxa" w:w="7293"/>
          </w:tcPr>
          <w:p>
            <w:r>
              <w:rPr>
                <w:sz w:val="20"/>
                <w:szCs w:val="20"/>
              </w:rPr>
              <w:t xml:space="preserve">Портові інспекції суден, що перевозять морські живі ресурси Антарктики</w:t>
            </w:r>
          </w:p>
        </w:tc>
      </w:tr>
      <w:tr>
        <w:tc>
          <w:tcPr>
            <w:tcW w:type="dxa" w:w="2057"/>
          </w:tcPr>
          <w:p>
            <w:r>
              <w:rPr>
                <w:sz w:val="20"/>
                <w:szCs w:val="20"/>
              </w:rPr>
              <w:t xml:space="preserve">10-04 (2025)</w:t>
            </w:r>
          </w:p>
        </w:tc>
        <w:tc>
          <w:tcPr>
            <w:tcW w:type="dxa" w:w="7293"/>
          </w:tcPr>
          <w:p>
            <w:r>
              <w:rPr>
                <w:sz w:val="20"/>
                <w:szCs w:val="20"/>
              </w:rPr>
              <w:t xml:space="preserve">Автоматизовані супутникові системи моніторингу суден (VMS)</w:t>
            </w:r>
          </w:p>
        </w:tc>
      </w:tr>
      <w:tr>
        <w:tc>
          <w:tcPr>
            <w:tcW w:type="dxa" w:w="2057"/>
          </w:tcPr>
          <w:p>
            <w:r>
              <w:rPr>
                <w:sz w:val="20"/>
                <w:szCs w:val="20"/>
              </w:rPr>
              <w:t xml:space="preserve">10-05 (2022)</w:t>
            </w:r>
          </w:p>
        </w:tc>
        <w:tc>
          <w:tcPr>
            <w:tcW w:type="dxa" w:w="7293"/>
          </w:tcPr>
          <w:p>
            <w:r>
              <w:rPr>
                <w:sz w:val="20"/>
                <w:szCs w:val="20"/>
              </w:rPr>
              <w:t xml:space="preserve">Схема документування вилову (CDS) для Dissostichus spp.</w:t>
            </w:r>
          </w:p>
        </w:tc>
      </w:tr>
      <w:tr>
        <w:tc>
          <w:tcPr>
            <w:tcW w:type="dxa" w:w="2057"/>
          </w:tcPr>
          <w:p>
            <w:r>
              <w:rPr>
                <w:sz w:val="20"/>
                <w:szCs w:val="20"/>
              </w:rPr>
              <w:t xml:space="preserve">10-06 (2016)</w:t>
            </w:r>
          </w:p>
        </w:tc>
        <w:tc>
          <w:tcPr>
            <w:tcW w:type="dxa" w:w="7293"/>
          </w:tcPr>
          <w:p>
            <w:r>
              <w:rPr>
                <w:sz w:val="20"/>
                <w:szCs w:val="20"/>
              </w:rPr>
              <w:t xml:space="preserve">Схема сприяння дотриманню правил суднами Договірних Сторін</w:t>
            </w:r>
          </w:p>
        </w:tc>
      </w:tr>
      <w:tr>
        <w:tc>
          <w:tcPr>
            <w:tcW w:type="dxa" w:w="2057"/>
          </w:tcPr>
          <w:p>
            <w:r>
              <w:rPr>
                <w:sz w:val="20"/>
                <w:szCs w:val="20"/>
              </w:rPr>
              <w:t xml:space="preserve">10-07 (2016)</w:t>
            </w:r>
          </w:p>
        </w:tc>
        <w:tc>
          <w:tcPr>
            <w:tcW w:type="dxa" w:w="7293"/>
          </w:tcPr>
          <w:p>
            <w:r>
              <w:rPr>
                <w:sz w:val="20"/>
                <w:szCs w:val="20"/>
              </w:rPr>
              <w:t xml:space="preserve">Схема сприяння дотриманню правил суднами держав, що не є Сторонами</w:t>
            </w:r>
          </w:p>
        </w:tc>
      </w:tr>
      <w:tr>
        <w:tc>
          <w:tcPr>
            <w:tcW w:type="dxa" w:w="2057"/>
          </w:tcPr>
          <w:p>
            <w:r>
              <w:rPr>
                <w:sz w:val="20"/>
                <w:szCs w:val="20"/>
              </w:rPr>
              <w:t xml:space="preserve">10-08 (2017)</w:t>
            </w:r>
          </w:p>
        </w:tc>
        <w:tc>
          <w:tcPr>
            <w:tcW w:type="dxa" w:w="7293"/>
          </w:tcPr>
          <w:p>
            <w:r>
              <w:rPr>
                <w:sz w:val="20"/>
                <w:szCs w:val="20"/>
              </w:rPr>
              <w:t xml:space="preserve">Схема сприяння дотриманню правил громадянами Договірних Сторін</w:t>
            </w:r>
          </w:p>
        </w:tc>
      </w:tr>
      <w:tr>
        <w:tc>
          <w:tcPr>
            <w:tcW w:type="dxa" w:w="2057"/>
          </w:tcPr>
          <w:p>
            <w:r>
              <w:rPr>
                <w:sz w:val="20"/>
                <w:szCs w:val="20"/>
              </w:rPr>
              <w:t xml:space="preserve">10-09 (2025)</w:t>
            </w:r>
          </w:p>
        </w:tc>
        <w:tc>
          <w:tcPr>
            <w:tcW w:type="dxa" w:w="7293"/>
          </w:tcPr>
          <w:p>
            <w:r>
              <w:rPr>
                <w:sz w:val="20"/>
                <w:szCs w:val="20"/>
              </w:rPr>
              <w:t xml:space="preserve">Система повідомлень про перевантаження в районі дії Конвенції</w:t>
            </w:r>
          </w:p>
        </w:tc>
      </w:tr>
      <w:tr>
        <w:tc>
          <w:tcPr>
            <w:tcW w:type="dxa" w:w="2057"/>
          </w:tcPr>
          <w:p>
            <w:r>
              <w:rPr>
                <w:sz w:val="20"/>
                <w:szCs w:val="20"/>
              </w:rPr>
              <w:t xml:space="preserve">10-10 (2023)</w:t>
            </w:r>
          </w:p>
        </w:tc>
        <w:tc>
          <w:tcPr>
            <w:tcW w:type="dxa" w:w="7293"/>
          </w:tcPr>
          <w:p>
            <w:r>
              <w:rPr>
                <w:sz w:val="20"/>
                <w:szCs w:val="20"/>
              </w:rPr>
              <w:t xml:space="preserve">Процедура оцінки дотримання CCAMLR</w:t>
            </w:r>
          </w:p>
        </w:tc>
      </w:tr>
    </w:tbl>
    <w:p>
      <w:pPr>
        <w:pStyle w:val="Heading2"/>
        <w:spacing w:after="100" w:before="200"/>
      </w:pPr>
      <w:r>
        <w:t xml:space="preserve">Загальні питання промислу (серія 20)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7"/>
        <w:gridCol w:w="7293"/>
      </w:tblGrid>
      <w:tr>
        <w:trPr>
          <w:tblHeader/>
        </w:trPr>
        <w:tc>
          <w:tcPr>
            <w:tcW w:type="dxa" w:w="2057"/>
            <w:shd w:fill="1F4E79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№ CM</w:t>
            </w:r>
          </w:p>
        </w:tc>
        <w:tc>
          <w:tcPr>
            <w:tcW w:type="dxa" w:w="7293"/>
            <w:shd w:fill="1F4E79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Назва / застосування</w:t>
            </w:r>
          </w:p>
        </w:tc>
      </w:tr>
      <w:tr>
        <w:tc>
          <w:tcPr>
            <w:tcW w:type="dxa" w:w="2057"/>
          </w:tcPr>
          <w:p>
            <w:r>
              <w:rPr>
                <w:sz w:val="20"/>
                <w:szCs w:val="20"/>
              </w:rPr>
              <w:t xml:space="preserve">21-01 (2019)</w:t>
            </w:r>
          </w:p>
        </w:tc>
        <w:tc>
          <w:tcPr>
            <w:tcW w:type="dxa" w:w="7293"/>
          </w:tcPr>
          <w:p>
            <w:r>
              <w:rPr>
                <w:sz w:val="20"/>
                <w:szCs w:val="20"/>
              </w:rPr>
              <w:t xml:space="preserve">Повідомлення про намір розпочати новий промисел</w:t>
            </w:r>
          </w:p>
        </w:tc>
      </w:tr>
      <w:tr>
        <w:tc>
          <w:tcPr>
            <w:tcW w:type="dxa" w:w="2057"/>
          </w:tcPr>
          <w:p>
            <w:r>
              <w:rPr>
                <w:sz w:val="20"/>
                <w:szCs w:val="20"/>
              </w:rPr>
              <w:t xml:space="preserve">21-02 (2025)</w:t>
            </w:r>
          </w:p>
        </w:tc>
        <w:tc>
          <w:tcPr>
            <w:tcW w:type="dxa" w:w="7293"/>
          </w:tcPr>
          <w:p>
            <w:r>
              <w:rPr>
                <w:sz w:val="20"/>
                <w:szCs w:val="20"/>
              </w:rPr>
              <w:t xml:space="preserve">Пошукові (exploratory) промисли</w:t>
            </w:r>
          </w:p>
        </w:tc>
      </w:tr>
      <w:tr>
        <w:tc>
          <w:tcPr>
            <w:tcW w:type="dxa" w:w="2057"/>
          </w:tcPr>
          <w:p>
            <w:r>
              <w:rPr>
                <w:sz w:val="20"/>
                <w:szCs w:val="20"/>
              </w:rPr>
              <w:t xml:space="preserve">21-03 (2023)</w:t>
            </w:r>
          </w:p>
        </w:tc>
        <w:tc>
          <w:tcPr>
            <w:tcW w:type="dxa" w:w="7293"/>
          </w:tcPr>
          <w:p>
            <w:r>
              <w:rPr>
                <w:sz w:val="20"/>
                <w:szCs w:val="20"/>
              </w:rPr>
              <w:t xml:space="preserve">Повідомлення про намір участі у промислі Euphausia superba (криль)</w:t>
            </w:r>
          </w:p>
        </w:tc>
      </w:tr>
      <w:tr>
        <w:tc>
          <w:tcPr>
            <w:tcW w:type="dxa" w:w="2057"/>
          </w:tcPr>
          <w:p>
            <w:r>
              <w:rPr>
                <w:sz w:val="20"/>
                <w:szCs w:val="20"/>
              </w:rPr>
              <w:t xml:space="preserve">22-01/02/03</w:t>
            </w:r>
          </w:p>
        </w:tc>
        <w:tc>
          <w:tcPr>
            <w:tcW w:type="dxa" w:w="7293"/>
          </w:tcPr>
          <w:p>
            <w:r>
              <w:rPr>
                <w:sz w:val="20"/>
                <w:szCs w:val="20"/>
              </w:rPr>
              <w:t xml:space="preserve">Регулювання розміру вічка сітки (нототенієві, C. gunnari)</w:t>
            </w:r>
          </w:p>
        </w:tc>
      </w:tr>
      <w:tr>
        <w:tc>
          <w:tcPr>
            <w:tcW w:type="dxa" w:w="2057"/>
          </w:tcPr>
          <w:p>
            <w:r>
              <w:rPr>
                <w:sz w:val="20"/>
                <w:szCs w:val="20"/>
              </w:rPr>
              <w:t xml:space="preserve">22-04 (2010)</w:t>
            </w:r>
          </w:p>
        </w:tc>
        <w:tc>
          <w:tcPr>
            <w:tcW w:type="dxa" w:w="7293"/>
          </w:tcPr>
          <w:p>
            <w:r>
              <w:rPr>
                <w:sz w:val="20"/>
                <w:szCs w:val="20"/>
              </w:rPr>
              <w:t xml:space="preserve">Тимчасова заборона глибоководного зябрового лову</w:t>
            </w:r>
          </w:p>
        </w:tc>
      </w:tr>
      <w:tr>
        <w:tc>
          <w:tcPr>
            <w:tcW w:type="dxa" w:w="2057"/>
          </w:tcPr>
          <w:p>
            <w:r>
              <w:rPr>
                <w:sz w:val="20"/>
                <w:szCs w:val="20"/>
              </w:rPr>
              <w:t xml:space="preserve">22-05 (2008)</w:t>
            </w:r>
          </w:p>
        </w:tc>
        <w:tc>
          <w:tcPr>
            <w:tcW w:type="dxa" w:w="7293"/>
          </w:tcPr>
          <w:p>
            <w:r>
              <w:rPr>
                <w:sz w:val="20"/>
                <w:szCs w:val="20"/>
              </w:rPr>
              <w:t xml:space="preserve">Обмеження на донне тралення у відкритому морі району Конвенції</w:t>
            </w:r>
          </w:p>
        </w:tc>
      </w:tr>
      <w:tr>
        <w:tc>
          <w:tcPr>
            <w:tcW w:type="dxa" w:w="2057"/>
          </w:tcPr>
          <w:p>
            <w:r>
              <w:rPr>
                <w:sz w:val="20"/>
                <w:szCs w:val="20"/>
              </w:rPr>
              <w:t xml:space="preserve">22-06 (2019)</w:t>
            </w:r>
          </w:p>
        </w:tc>
        <w:tc>
          <w:tcPr>
            <w:tcW w:type="dxa" w:w="7293"/>
          </w:tcPr>
          <w:p>
            <w:r>
              <w:rPr>
                <w:sz w:val="20"/>
                <w:szCs w:val="20"/>
              </w:rPr>
              <w:t xml:space="preserve">Донний промисел у районі дії Конвенції (заходи щодо ВМЕ)</w:t>
            </w:r>
          </w:p>
        </w:tc>
      </w:tr>
      <w:tr>
        <w:tc>
          <w:tcPr>
            <w:tcW w:type="dxa" w:w="2057"/>
          </w:tcPr>
          <w:p>
            <w:r>
              <w:rPr>
                <w:sz w:val="20"/>
                <w:szCs w:val="20"/>
              </w:rPr>
              <w:t xml:space="preserve">22-07 (2013)</w:t>
            </w:r>
          </w:p>
        </w:tc>
        <w:tc>
          <w:tcPr>
            <w:tcW w:type="dxa" w:w="7293"/>
          </w:tcPr>
          <w:p>
            <w:r>
              <w:rPr>
                <w:sz w:val="20"/>
                <w:szCs w:val="20"/>
              </w:rPr>
              <w:t xml:space="preserve">Тимчасовий захід для донного промислу при виявленні потенційних ВМЕ</w:t>
            </w:r>
          </w:p>
        </w:tc>
      </w:tr>
      <w:tr>
        <w:tc>
          <w:tcPr>
            <w:tcW w:type="dxa" w:w="2057"/>
          </w:tcPr>
          <w:p>
            <w:r>
              <w:rPr>
                <w:sz w:val="20"/>
                <w:szCs w:val="20"/>
              </w:rPr>
              <w:t xml:space="preserve">22-08 (2009)</w:t>
            </w:r>
          </w:p>
        </w:tc>
        <w:tc>
          <w:tcPr>
            <w:tcW w:type="dxa" w:w="7293"/>
          </w:tcPr>
          <w:p>
            <w:r>
              <w:rPr>
                <w:sz w:val="20"/>
                <w:szCs w:val="20"/>
              </w:rPr>
              <w:t xml:space="preserve">Заборона промислу Dissostichus spp. на глибині &lt;550 м у пошукових промислах</w:t>
            </w:r>
          </w:p>
        </w:tc>
      </w:tr>
      <w:tr>
        <w:tc>
          <w:tcPr>
            <w:tcW w:type="dxa" w:w="2057"/>
          </w:tcPr>
          <w:p>
            <w:r>
              <w:rPr>
                <w:sz w:val="20"/>
                <w:szCs w:val="20"/>
              </w:rPr>
              <w:t xml:space="preserve">22-09 (2012)</w:t>
            </w:r>
          </w:p>
        </w:tc>
        <w:tc>
          <w:tcPr>
            <w:tcW w:type="dxa" w:w="7293"/>
          </w:tcPr>
          <w:p>
            <w:r>
              <w:rPr>
                <w:sz w:val="20"/>
                <w:szCs w:val="20"/>
              </w:rPr>
              <w:t xml:space="preserve">Захист зареєстрованих ВМЕ у відкритих для донного промислу районах</w:t>
            </w:r>
          </w:p>
        </w:tc>
      </w:tr>
      <w:tr>
        <w:tc>
          <w:tcPr>
            <w:tcW w:type="dxa" w:w="2057"/>
          </w:tcPr>
          <w:p>
            <w:r>
              <w:rPr>
                <w:sz w:val="20"/>
                <w:szCs w:val="20"/>
              </w:rPr>
              <w:t xml:space="preserve">23-01…23-07</w:t>
            </w:r>
          </w:p>
        </w:tc>
        <w:tc>
          <w:tcPr>
            <w:tcW w:type="dxa" w:w="7293"/>
          </w:tcPr>
          <w:p>
            <w:r>
              <w:rPr>
                <w:sz w:val="20"/>
                <w:szCs w:val="20"/>
              </w:rPr>
              <w:t xml:space="preserve">Системи звітності про вилов і зусилля (5-денна, 10-денна, місячна, щоденна)</w:t>
            </w:r>
          </w:p>
        </w:tc>
      </w:tr>
      <w:tr>
        <w:tc>
          <w:tcPr>
            <w:tcW w:type="dxa" w:w="2057"/>
          </w:tcPr>
          <w:p>
            <w:r>
              <w:rPr>
                <w:sz w:val="20"/>
                <w:szCs w:val="20"/>
              </w:rPr>
              <w:t xml:space="preserve">24-01 (2023)</w:t>
            </w:r>
          </w:p>
        </w:tc>
        <w:tc>
          <w:tcPr>
            <w:tcW w:type="dxa" w:w="7293"/>
          </w:tcPr>
          <w:p>
            <w:r>
              <w:rPr>
                <w:sz w:val="20"/>
                <w:szCs w:val="20"/>
              </w:rPr>
              <w:t xml:space="preserve">Застосування заходів зі збереження до наукових досліджень</w:t>
            </w:r>
          </w:p>
        </w:tc>
      </w:tr>
      <w:tr>
        <w:tc>
          <w:tcPr>
            <w:tcW w:type="dxa" w:w="2057"/>
          </w:tcPr>
          <w:p>
            <w:r>
              <w:rPr>
                <w:sz w:val="20"/>
                <w:szCs w:val="20"/>
              </w:rPr>
              <w:t xml:space="preserve">24-02 (2014)</w:t>
            </w:r>
          </w:p>
        </w:tc>
        <w:tc>
          <w:tcPr>
            <w:tcW w:type="dxa" w:w="7293"/>
          </w:tcPr>
          <w:p>
            <w:r>
              <w:rPr>
                <w:sz w:val="20"/>
                <w:szCs w:val="20"/>
              </w:rPr>
              <w:t xml:space="preserve">Обважнення ярусу для збереження морських птахів</w:t>
            </w:r>
          </w:p>
        </w:tc>
      </w:tr>
      <w:tr>
        <w:tc>
          <w:tcPr>
            <w:tcW w:type="dxa" w:w="2057"/>
          </w:tcPr>
          <w:p>
            <w:r>
              <w:rPr>
                <w:sz w:val="20"/>
                <w:szCs w:val="20"/>
              </w:rPr>
              <w:t xml:space="preserve">24-04 (2017)</w:t>
            </w:r>
          </w:p>
        </w:tc>
        <w:tc>
          <w:tcPr>
            <w:tcW w:type="dxa" w:w="7293"/>
          </w:tcPr>
          <w:p>
            <w:r>
              <w:rPr>
                <w:sz w:val="20"/>
                <w:szCs w:val="20"/>
              </w:rPr>
              <w:t xml:space="preserve">Тимчасові особливі райони наукових досліджень у зонах відступу шельфового льоду</w:t>
            </w:r>
          </w:p>
        </w:tc>
      </w:tr>
      <w:tr>
        <w:tc>
          <w:tcPr>
            <w:tcW w:type="dxa" w:w="2057"/>
          </w:tcPr>
          <w:p>
            <w:r>
              <w:rPr>
                <w:sz w:val="20"/>
                <w:szCs w:val="20"/>
              </w:rPr>
              <w:t xml:space="preserve">24-05 (2025)</w:t>
            </w:r>
          </w:p>
        </w:tc>
        <w:tc>
          <w:tcPr>
            <w:tcW w:type="dxa" w:w="7293"/>
          </w:tcPr>
          <w:p>
            <w:r>
              <w:rPr>
                <w:sz w:val="20"/>
                <w:szCs w:val="20"/>
              </w:rPr>
              <w:t xml:space="preserve">Промисел для дослідницьких цілей у поточному сезоні (за CM 24-01)</w:t>
            </w:r>
          </w:p>
        </w:tc>
      </w:tr>
      <w:tr>
        <w:tc>
          <w:tcPr>
            <w:tcW w:type="dxa" w:w="2057"/>
          </w:tcPr>
          <w:p>
            <w:r>
              <w:rPr>
                <w:sz w:val="20"/>
                <w:szCs w:val="20"/>
              </w:rPr>
              <w:t xml:space="preserve">25-02 (2024)</w:t>
            </w:r>
          </w:p>
        </w:tc>
        <w:tc>
          <w:tcPr>
            <w:tcW w:type="dxa" w:w="7293"/>
          </w:tcPr>
          <w:p>
            <w:r>
              <w:rPr>
                <w:sz w:val="20"/>
                <w:szCs w:val="20"/>
              </w:rPr>
              <w:t xml:space="preserve">Мінімізація випадкової смертності морських птахів під час ярусного лову</w:t>
            </w:r>
          </w:p>
        </w:tc>
      </w:tr>
      <w:tr>
        <w:tc>
          <w:tcPr>
            <w:tcW w:type="dxa" w:w="2057"/>
          </w:tcPr>
          <w:p>
            <w:r>
              <w:rPr>
                <w:sz w:val="20"/>
                <w:szCs w:val="20"/>
              </w:rPr>
              <w:t xml:space="preserve">25-03 (2024)</w:t>
            </w:r>
          </w:p>
        </w:tc>
        <w:tc>
          <w:tcPr>
            <w:tcW w:type="dxa" w:w="7293"/>
          </w:tcPr>
          <w:p>
            <w:r>
              <w:rPr>
                <w:sz w:val="20"/>
                <w:szCs w:val="20"/>
              </w:rPr>
              <w:t xml:space="preserve">Мінімізація випадкової смертності птахів і ссавців під час тралового лову</w:t>
            </w:r>
          </w:p>
        </w:tc>
      </w:tr>
      <w:tr>
        <w:tc>
          <w:tcPr>
            <w:tcW w:type="dxa" w:w="2057"/>
          </w:tcPr>
          <w:p>
            <w:r>
              <w:rPr>
                <w:sz w:val="20"/>
                <w:szCs w:val="20"/>
              </w:rPr>
              <w:t xml:space="preserve">26-01 (2022)</w:t>
            </w:r>
          </w:p>
        </w:tc>
        <w:tc>
          <w:tcPr>
            <w:tcW w:type="dxa" w:w="7293"/>
          </w:tcPr>
          <w:p>
            <w:r>
              <w:rPr>
                <w:sz w:val="20"/>
                <w:szCs w:val="20"/>
              </w:rPr>
              <w:t xml:space="preserve">Загальний захист довкілля риболовними суднами</w:t>
            </w:r>
          </w:p>
        </w:tc>
      </w:tr>
    </w:tbl>
    <w:p>
      <w:pPr>
        <w:pStyle w:val="Heading2"/>
        <w:spacing w:after="100" w:before="200"/>
      </w:pPr>
      <w:r>
        <w:t xml:space="preserve">Промислові заходи: загальні (серія 30)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7"/>
        <w:gridCol w:w="7293"/>
      </w:tblGrid>
      <w:tr>
        <w:trPr>
          <w:tblHeader/>
        </w:trPr>
        <w:tc>
          <w:tcPr>
            <w:tcW w:type="dxa" w:w="2057"/>
            <w:shd w:fill="1F4E79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№ CM</w:t>
            </w:r>
          </w:p>
        </w:tc>
        <w:tc>
          <w:tcPr>
            <w:tcW w:type="dxa" w:w="7293"/>
            <w:shd w:fill="1F4E79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Назва / застосування</w:t>
            </w:r>
          </w:p>
        </w:tc>
      </w:tr>
      <w:tr>
        <w:tc>
          <w:tcPr>
            <w:tcW w:type="dxa" w:w="2057"/>
          </w:tcPr>
          <w:p>
            <w:r>
              <w:rPr>
                <w:sz w:val="20"/>
                <w:szCs w:val="20"/>
              </w:rPr>
              <w:t xml:space="preserve">31-01 (1986)</w:t>
            </w:r>
          </w:p>
        </w:tc>
        <w:tc>
          <w:tcPr>
            <w:tcW w:type="dxa" w:w="7293"/>
          </w:tcPr>
          <w:p>
            <w:r>
              <w:rPr>
                <w:sz w:val="20"/>
                <w:szCs w:val="20"/>
              </w:rPr>
              <w:t xml:space="preserve">Регулювання промислу навколо Південної Джорджії (48.3)</w:t>
            </w:r>
          </w:p>
        </w:tc>
      </w:tr>
      <w:tr>
        <w:tc>
          <w:tcPr>
            <w:tcW w:type="dxa" w:w="2057"/>
          </w:tcPr>
          <w:p>
            <w:r>
              <w:rPr>
                <w:sz w:val="20"/>
                <w:szCs w:val="20"/>
              </w:rPr>
              <w:t xml:space="preserve">31-02 (2007)</w:t>
            </w:r>
          </w:p>
        </w:tc>
        <w:tc>
          <w:tcPr>
            <w:tcW w:type="dxa" w:w="7293"/>
          </w:tcPr>
          <w:p>
            <w:r>
              <w:rPr>
                <w:sz w:val="20"/>
                <w:szCs w:val="20"/>
              </w:rPr>
              <w:t xml:space="preserve">Загальний захід закриття всіх промислів</w:t>
            </w:r>
          </w:p>
        </w:tc>
      </w:tr>
      <w:tr>
        <w:tc>
          <w:tcPr>
            <w:tcW w:type="dxa" w:w="2057"/>
          </w:tcPr>
          <w:p>
            <w:r>
              <w:rPr>
                <w:sz w:val="20"/>
                <w:szCs w:val="20"/>
              </w:rPr>
              <w:t xml:space="preserve">32-01 (2001)</w:t>
            </w:r>
          </w:p>
        </w:tc>
        <w:tc>
          <w:tcPr>
            <w:tcW w:type="dxa" w:w="7293"/>
          </w:tcPr>
          <w:p>
            <w:r>
              <w:rPr>
                <w:sz w:val="20"/>
                <w:szCs w:val="20"/>
              </w:rPr>
              <w:t xml:space="preserve">Промислові сезони</w:t>
            </w:r>
          </w:p>
        </w:tc>
      </w:tr>
      <w:tr>
        <w:tc>
          <w:tcPr>
            <w:tcW w:type="dxa" w:w="2057"/>
          </w:tcPr>
          <w:p>
            <w:r>
              <w:rPr>
                <w:sz w:val="20"/>
                <w:szCs w:val="20"/>
              </w:rPr>
              <w:t xml:space="preserve">32-02 (2017)</w:t>
            </w:r>
          </w:p>
        </w:tc>
        <w:tc>
          <w:tcPr>
            <w:tcW w:type="dxa" w:w="7293"/>
          </w:tcPr>
          <w:p>
            <w:r>
              <w:rPr>
                <w:sz w:val="20"/>
                <w:szCs w:val="20"/>
              </w:rPr>
              <w:t xml:space="preserve">Заборона спрямованого промислу окремих видів</w:t>
            </w:r>
          </w:p>
        </w:tc>
      </w:tr>
      <w:tr>
        <w:tc>
          <w:tcPr>
            <w:tcW w:type="dxa" w:w="2057"/>
          </w:tcPr>
          <w:p>
            <w:r>
              <w:rPr>
                <w:sz w:val="20"/>
                <w:szCs w:val="20"/>
              </w:rPr>
              <w:t xml:space="preserve">32-09</w:t>
            </w:r>
          </w:p>
        </w:tc>
        <w:tc>
          <w:tcPr>
            <w:tcW w:type="dxa" w:w="7293"/>
          </w:tcPr>
          <w:p>
            <w:r>
              <w:rPr>
                <w:sz w:val="20"/>
                <w:szCs w:val="20"/>
              </w:rPr>
              <w:t xml:space="preserve">Заборона спрямованого промислу Dissostichus spp., крім передбачених заходів</w:t>
            </w:r>
          </w:p>
        </w:tc>
      </w:tr>
      <w:tr>
        <w:tc>
          <w:tcPr>
            <w:tcW w:type="dxa" w:w="2057"/>
          </w:tcPr>
          <w:p>
            <w:r>
              <w:rPr>
                <w:sz w:val="20"/>
                <w:szCs w:val="20"/>
              </w:rPr>
              <w:t xml:space="preserve">32-18 (2006)</w:t>
            </w:r>
          </w:p>
        </w:tc>
        <w:tc>
          <w:tcPr>
            <w:tcW w:type="dxa" w:w="7293"/>
          </w:tcPr>
          <w:p>
            <w:r>
              <w:rPr>
                <w:sz w:val="20"/>
                <w:szCs w:val="20"/>
              </w:rPr>
              <w:t xml:space="preserve">Збереження акул</w:t>
            </w:r>
          </w:p>
        </w:tc>
      </w:tr>
    </w:tbl>
    <w:p>
      <w:pPr>
        <w:pStyle w:val="Heading2"/>
        <w:spacing w:after="100" w:before="200"/>
      </w:pPr>
      <w:r>
        <w:t xml:space="preserve">Ліміти прилову (серія 33)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7"/>
        <w:gridCol w:w="7293"/>
      </w:tblGrid>
      <w:tr>
        <w:trPr>
          <w:tblHeader/>
        </w:trPr>
        <w:tc>
          <w:tcPr>
            <w:tcW w:type="dxa" w:w="2057"/>
            <w:shd w:fill="1F4E79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№ CM</w:t>
            </w:r>
          </w:p>
        </w:tc>
        <w:tc>
          <w:tcPr>
            <w:tcW w:type="dxa" w:w="7293"/>
            <w:shd w:fill="1F4E79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Назва / застосування</w:t>
            </w:r>
          </w:p>
        </w:tc>
      </w:tr>
      <w:tr>
        <w:tc>
          <w:tcPr>
            <w:tcW w:type="dxa" w:w="2057"/>
          </w:tcPr>
          <w:p>
            <w:r>
              <w:rPr>
                <w:sz w:val="20"/>
                <w:szCs w:val="20"/>
              </w:rPr>
              <w:t xml:space="preserve">33-01 (1995)</w:t>
            </w:r>
          </w:p>
        </w:tc>
        <w:tc>
          <w:tcPr>
            <w:tcW w:type="dxa" w:w="7293"/>
          </w:tcPr>
          <w:p>
            <w:r>
              <w:rPr>
                <w:sz w:val="20"/>
                <w:szCs w:val="20"/>
              </w:rPr>
              <w:t xml:space="preserve">Ліміт прилову у підрайоні 48.3 (5 видів нототеній та ін.)</w:t>
            </w:r>
          </w:p>
        </w:tc>
      </w:tr>
      <w:tr>
        <w:tc>
          <w:tcPr>
            <w:tcW w:type="dxa" w:w="2057"/>
          </w:tcPr>
          <w:p>
            <w:r>
              <w:rPr>
                <w:sz w:val="20"/>
                <w:szCs w:val="20"/>
              </w:rPr>
              <w:t xml:space="preserve">33-02</w:t>
            </w:r>
          </w:p>
        </w:tc>
        <w:tc>
          <w:tcPr>
            <w:tcW w:type="dxa" w:w="7293"/>
          </w:tcPr>
          <w:p>
            <w:r>
              <w:rPr>
                <w:sz w:val="20"/>
                <w:szCs w:val="20"/>
              </w:rPr>
              <w:t xml:space="preserve">Ліміт прилову у поділі 58.5.2 (C. rhinoceratus, Macrourus spp., скати)</w:t>
            </w:r>
          </w:p>
        </w:tc>
      </w:tr>
      <w:tr>
        <w:tc>
          <w:tcPr>
            <w:tcW w:type="dxa" w:w="2057"/>
          </w:tcPr>
          <w:p>
            <w:r>
              <w:rPr>
                <w:sz w:val="20"/>
                <w:szCs w:val="20"/>
              </w:rPr>
              <w:t xml:space="preserve">33-03</w:t>
            </w:r>
          </w:p>
        </w:tc>
        <w:tc>
          <w:tcPr>
            <w:tcW w:type="dxa" w:w="7293"/>
          </w:tcPr>
          <w:p>
            <w:r>
              <w:rPr>
                <w:sz w:val="20"/>
                <w:szCs w:val="20"/>
              </w:rPr>
              <w:t xml:space="preserve">Ліміт прилову в нових і пошукових промислах</w:t>
            </w:r>
          </w:p>
        </w:tc>
      </w:tr>
    </w:tbl>
    <w:p>
      <w:pPr>
        <w:pStyle w:val="Heading2"/>
        <w:spacing w:after="100" w:before="200"/>
      </w:pPr>
      <w:r>
        <w:t xml:space="preserve">Іклач — Dissostichus spp. (серія 41)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7"/>
        <w:gridCol w:w="7293"/>
      </w:tblGrid>
      <w:tr>
        <w:trPr>
          <w:tblHeader/>
        </w:trPr>
        <w:tc>
          <w:tcPr>
            <w:tcW w:type="dxa" w:w="2057"/>
            <w:shd w:fill="1F4E79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№ CM</w:t>
            </w:r>
          </w:p>
        </w:tc>
        <w:tc>
          <w:tcPr>
            <w:tcW w:type="dxa" w:w="7293"/>
            <w:shd w:fill="1F4E79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Назва / застосування</w:t>
            </w:r>
          </w:p>
        </w:tc>
      </w:tr>
      <w:tr>
        <w:tc>
          <w:tcPr>
            <w:tcW w:type="dxa" w:w="2057"/>
          </w:tcPr>
          <w:p>
            <w:r>
              <w:rPr>
                <w:sz w:val="20"/>
                <w:szCs w:val="20"/>
              </w:rPr>
              <w:t xml:space="preserve">41-01</w:t>
            </w:r>
          </w:p>
        </w:tc>
        <w:tc>
          <w:tcPr>
            <w:tcW w:type="dxa" w:w="7293"/>
          </w:tcPr>
          <w:p>
            <w:r>
              <w:rPr>
                <w:sz w:val="20"/>
                <w:szCs w:val="20"/>
              </w:rPr>
              <w:t xml:space="preserve">Загальні заходи для пошукових промислів Dissostichus spp.</w:t>
            </w:r>
          </w:p>
        </w:tc>
      </w:tr>
      <w:tr>
        <w:tc>
          <w:tcPr>
            <w:tcW w:type="dxa" w:w="2057"/>
          </w:tcPr>
          <w:p>
            <w:r>
              <w:rPr>
                <w:sz w:val="20"/>
                <w:szCs w:val="20"/>
              </w:rPr>
              <w:t xml:space="preserve">41-03</w:t>
            </w:r>
          </w:p>
        </w:tc>
        <w:tc>
          <w:tcPr>
            <w:tcW w:type="dxa" w:w="7293"/>
          </w:tcPr>
          <w:p>
            <w:r>
              <w:rPr>
                <w:sz w:val="20"/>
                <w:szCs w:val="20"/>
              </w:rPr>
              <w:t xml:space="preserve">Ліміти промислу в підрайоні 48.4</w:t>
            </w:r>
          </w:p>
        </w:tc>
      </w:tr>
      <w:tr>
        <w:tc>
          <w:tcPr>
            <w:tcW w:type="dxa" w:w="2057"/>
          </w:tcPr>
          <w:p>
            <w:r>
              <w:rPr>
                <w:sz w:val="20"/>
                <w:szCs w:val="20"/>
              </w:rPr>
              <w:t xml:space="preserve">41-04</w:t>
            </w:r>
          </w:p>
        </w:tc>
        <w:tc>
          <w:tcPr>
            <w:tcW w:type="dxa" w:w="7293"/>
          </w:tcPr>
          <w:p>
            <w:r>
              <w:rPr>
                <w:sz w:val="20"/>
                <w:szCs w:val="20"/>
              </w:rPr>
              <w:t xml:space="preserve">Ліміти пошукового промислу D. mawsoni в підрайоні 48.6</w:t>
            </w:r>
          </w:p>
        </w:tc>
      </w:tr>
      <w:tr>
        <w:tc>
          <w:tcPr>
            <w:tcW w:type="dxa" w:w="2057"/>
          </w:tcPr>
          <w:p>
            <w:r>
              <w:rPr>
                <w:sz w:val="20"/>
                <w:szCs w:val="20"/>
              </w:rPr>
              <w:t xml:space="preserve">41-05</w:t>
            </w:r>
          </w:p>
        </w:tc>
        <w:tc>
          <w:tcPr>
            <w:tcW w:type="dxa" w:w="7293"/>
          </w:tcPr>
          <w:p>
            <w:r>
              <w:rPr>
                <w:sz w:val="20"/>
                <w:szCs w:val="20"/>
              </w:rPr>
              <w:t xml:space="preserve">Ліміти пошукового промислу D. mawsoni в поділі 58.4.2</w:t>
            </w:r>
          </w:p>
        </w:tc>
      </w:tr>
      <w:tr>
        <w:tc>
          <w:tcPr>
            <w:tcW w:type="dxa" w:w="2057"/>
          </w:tcPr>
          <w:p>
            <w:r>
              <w:rPr>
                <w:sz w:val="20"/>
                <w:szCs w:val="20"/>
              </w:rPr>
              <w:t xml:space="preserve">41-06</w:t>
            </w:r>
          </w:p>
        </w:tc>
        <w:tc>
          <w:tcPr>
            <w:tcW w:type="dxa" w:w="7293"/>
          </w:tcPr>
          <w:p>
            <w:r>
              <w:rPr>
                <w:sz w:val="20"/>
                <w:szCs w:val="20"/>
              </w:rPr>
              <w:t xml:space="preserve">Ліміти пошукового промислу D. eleginoides на банці Елан (58.4.3a)</w:t>
            </w:r>
          </w:p>
        </w:tc>
      </w:tr>
      <w:tr>
        <w:tc>
          <w:tcPr>
            <w:tcW w:type="dxa" w:w="2057"/>
          </w:tcPr>
          <w:p>
            <w:r>
              <w:rPr>
                <w:sz w:val="20"/>
                <w:szCs w:val="20"/>
              </w:rPr>
              <w:t xml:space="preserve">41-07</w:t>
            </w:r>
          </w:p>
        </w:tc>
        <w:tc>
          <w:tcPr>
            <w:tcW w:type="dxa" w:w="7293"/>
          </w:tcPr>
          <w:p>
            <w:r>
              <w:rPr>
                <w:sz w:val="20"/>
                <w:szCs w:val="20"/>
              </w:rPr>
              <w:t xml:space="preserve">Ліміти пошукового промислу D. mawsoni на банці БАНЗАРЕ (58.4.3b)</w:t>
            </w:r>
          </w:p>
        </w:tc>
      </w:tr>
      <w:tr>
        <w:tc>
          <w:tcPr>
            <w:tcW w:type="dxa" w:w="2057"/>
          </w:tcPr>
          <w:p>
            <w:r>
              <w:rPr>
                <w:sz w:val="20"/>
                <w:szCs w:val="20"/>
              </w:rPr>
              <w:t xml:space="preserve">41-08</w:t>
            </w:r>
          </w:p>
        </w:tc>
        <w:tc>
          <w:tcPr>
            <w:tcW w:type="dxa" w:w="7293"/>
          </w:tcPr>
          <w:p>
            <w:r>
              <w:rPr>
                <w:sz w:val="20"/>
                <w:szCs w:val="20"/>
              </w:rPr>
              <w:t xml:space="preserve">Ліміти промислу D. eleginoides у поділі 58.5.2 (багаторічний ліміт)</w:t>
            </w:r>
          </w:p>
        </w:tc>
      </w:tr>
      <w:tr>
        <w:tc>
          <w:tcPr>
            <w:tcW w:type="dxa" w:w="2057"/>
          </w:tcPr>
          <w:p>
            <w:r>
              <w:rPr>
                <w:sz w:val="20"/>
                <w:szCs w:val="20"/>
              </w:rPr>
              <w:t xml:space="preserve">41-09</w:t>
            </w:r>
          </w:p>
        </w:tc>
        <w:tc>
          <w:tcPr>
            <w:tcW w:type="dxa" w:w="7293"/>
          </w:tcPr>
          <w:p>
            <w:r>
              <w:rPr>
                <w:sz w:val="20"/>
                <w:szCs w:val="20"/>
              </w:rPr>
              <w:t xml:space="preserve">Ліміти пошукового промислу D. mawsoni в підрайоні 88.1</w:t>
            </w:r>
          </w:p>
        </w:tc>
      </w:tr>
      <w:tr>
        <w:tc>
          <w:tcPr>
            <w:tcW w:type="dxa" w:w="2057"/>
          </w:tcPr>
          <w:p>
            <w:r>
              <w:rPr>
                <w:sz w:val="20"/>
                <w:szCs w:val="20"/>
              </w:rPr>
              <w:t xml:space="preserve">41-10</w:t>
            </w:r>
          </w:p>
        </w:tc>
        <w:tc>
          <w:tcPr>
            <w:tcW w:type="dxa" w:w="7293"/>
          </w:tcPr>
          <w:p>
            <w:r>
              <w:rPr>
                <w:sz w:val="20"/>
                <w:szCs w:val="20"/>
              </w:rPr>
              <w:t xml:space="preserve">Ліміти пошукового промислу D. mawsoni в підрайоні 88.2</w:t>
            </w:r>
          </w:p>
        </w:tc>
      </w:tr>
      <w:tr>
        <w:tc>
          <w:tcPr>
            <w:tcW w:type="dxa" w:w="2057"/>
          </w:tcPr>
          <w:p>
            <w:r>
              <w:rPr>
                <w:sz w:val="20"/>
                <w:szCs w:val="20"/>
              </w:rPr>
              <w:t xml:space="preserve">41-11</w:t>
            </w:r>
          </w:p>
        </w:tc>
        <w:tc>
          <w:tcPr>
            <w:tcW w:type="dxa" w:w="7293"/>
          </w:tcPr>
          <w:p>
            <w:r>
              <w:rPr>
                <w:sz w:val="20"/>
                <w:szCs w:val="20"/>
              </w:rPr>
              <w:t xml:space="preserve">Ліміти D. mawsoni у поділі 58.4.1 — закрито для спрямованого промислу</w:t>
            </w:r>
          </w:p>
        </w:tc>
      </w:tr>
    </w:tbl>
    <w:p>
      <w:pPr>
        <w:pStyle w:val="Heading2"/>
        <w:spacing w:after="100" w:before="200"/>
      </w:pPr>
      <w:r>
        <w:t xml:space="preserve">Крижана риба (серія 42)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7"/>
        <w:gridCol w:w="7293"/>
      </w:tblGrid>
      <w:tr>
        <w:trPr>
          <w:tblHeader/>
        </w:trPr>
        <w:tc>
          <w:tcPr>
            <w:tcW w:type="dxa" w:w="2057"/>
            <w:shd w:fill="1F4E79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№ CM</w:t>
            </w:r>
          </w:p>
        </w:tc>
        <w:tc>
          <w:tcPr>
            <w:tcW w:type="dxa" w:w="7293"/>
            <w:shd w:fill="1F4E79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Назва / застосування</w:t>
            </w:r>
          </w:p>
        </w:tc>
      </w:tr>
      <w:tr>
        <w:tc>
          <w:tcPr>
            <w:tcW w:type="dxa" w:w="2057"/>
          </w:tcPr>
          <w:p>
            <w:r>
              <w:rPr>
                <w:sz w:val="20"/>
                <w:szCs w:val="20"/>
              </w:rPr>
              <w:t xml:space="preserve">42-01</w:t>
            </w:r>
          </w:p>
        </w:tc>
        <w:tc>
          <w:tcPr>
            <w:tcW w:type="dxa" w:w="7293"/>
          </w:tcPr>
          <w:p>
            <w:r>
              <w:rPr>
                <w:sz w:val="20"/>
                <w:szCs w:val="20"/>
              </w:rPr>
              <w:t xml:space="preserve">Ліміти промислу Champsocephalus gunnari у підрайоні 48.3 (два сезони наперед)</w:t>
            </w:r>
          </w:p>
        </w:tc>
      </w:tr>
      <w:tr>
        <w:tc>
          <w:tcPr>
            <w:tcW w:type="dxa" w:w="2057"/>
          </w:tcPr>
          <w:p>
            <w:r>
              <w:rPr>
                <w:sz w:val="20"/>
                <w:szCs w:val="20"/>
              </w:rPr>
              <w:t xml:space="preserve">42-02</w:t>
            </w:r>
          </w:p>
        </w:tc>
        <w:tc>
          <w:tcPr>
            <w:tcW w:type="dxa" w:w="7293"/>
          </w:tcPr>
          <w:p>
            <w:r>
              <w:rPr>
                <w:sz w:val="20"/>
                <w:szCs w:val="20"/>
              </w:rPr>
              <w:t xml:space="preserve">Ліміти промислу C. gunnari у поділі 58.5.2 (два сезони наперед)</w:t>
            </w:r>
          </w:p>
        </w:tc>
      </w:tr>
    </w:tbl>
    <w:p>
      <w:pPr>
        <w:pStyle w:val="Heading2"/>
        <w:spacing w:after="100" w:before="200"/>
      </w:pPr>
      <w:r>
        <w:t xml:space="preserve">Криль (серія 51)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7"/>
        <w:gridCol w:w="7293"/>
      </w:tblGrid>
      <w:tr>
        <w:trPr>
          <w:tblHeader/>
        </w:trPr>
        <w:tc>
          <w:tcPr>
            <w:tcW w:type="dxa" w:w="2057"/>
            <w:shd w:fill="1F4E79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№ CM</w:t>
            </w:r>
          </w:p>
        </w:tc>
        <w:tc>
          <w:tcPr>
            <w:tcW w:type="dxa" w:w="7293"/>
            <w:shd w:fill="1F4E79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Назва / застосування</w:t>
            </w:r>
          </w:p>
        </w:tc>
      </w:tr>
      <w:tr>
        <w:tc>
          <w:tcPr>
            <w:tcW w:type="dxa" w:w="2057"/>
          </w:tcPr>
          <w:p>
            <w:r>
              <w:rPr>
                <w:sz w:val="20"/>
                <w:szCs w:val="20"/>
              </w:rPr>
              <w:t xml:space="preserve">51-01 (2024)</w:t>
            </w:r>
          </w:p>
        </w:tc>
        <w:tc>
          <w:tcPr>
            <w:tcW w:type="dxa" w:w="7293"/>
          </w:tcPr>
          <w:p>
            <w:r>
              <w:rPr>
                <w:sz w:val="20"/>
                <w:szCs w:val="20"/>
              </w:rPr>
              <w:t xml:space="preserve">Пересторожні ліміти вилову Euphausia superba у підрайонах 48.1–48.4 (тригер 620 000 т)</w:t>
            </w:r>
          </w:p>
        </w:tc>
      </w:tr>
      <w:tr>
        <w:tc>
          <w:tcPr>
            <w:tcW w:type="dxa" w:w="2057"/>
          </w:tcPr>
          <w:p>
            <w:r>
              <w:rPr>
                <w:sz w:val="20"/>
                <w:szCs w:val="20"/>
              </w:rPr>
              <w:t xml:space="preserve">51-02 (2024)</w:t>
            </w:r>
          </w:p>
        </w:tc>
        <w:tc>
          <w:tcPr>
            <w:tcW w:type="dxa" w:w="7293"/>
          </w:tcPr>
          <w:p>
            <w:r>
              <w:rPr>
                <w:sz w:val="20"/>
                <w:szCs w:val="20"/>
              </w:rPr>
              <w:t xml:space="preserve">Ліміт вилову Euphausia superba у поділі 58.4.1</w:t>
            </w:r>
          </w:p>
        </w:tc>
      </w:tr>
      <w:tr>
        <w:tc>
          <w:tcPr>
            <w:tcW w:type="dxa" w:w="2057"/>
          </w:tcPr>
          <w:p>
            <w:r>
              <w:rPr>
                <w:sz w:val="20"/>
                <w:szCs w:val="20"/>
              </w:rPr>
              <w:t xml:space="preserve">51-03 (2024)</w:t>
            </w:r>
          </w:p>
        </w:tc>
        <w:tc>
          <w:tcPr>
            <w:tcW w:type="dxa" w:w="7293"/>
          </w:tcPr>
          <w:p>
            <w:r>
              <w:rPr>
                <w:sz w:val="20"/>
                <w:szCs w:val="20"/>
              </w:rPr>
              <w:t xml:space="preserve">Ліміт вилову Euphausia superba у поділі 58.4.2</w:t>
            </w:r>
          </w:p>
        </w:tc>
      </w:tr>
      <w:tr>
        <w:tc>
          <w:tcPr>
            <w:tcW w:type="dxa" w:w="2057"/>
          </w:tcPr>
          <w:p>
            <w:r>
              <w:rPr>
                <w:sz w:val="20"/>
                <w:szCs w:val="20"/>
              </w:rPr>
              <w:t xml:space="preserve">51-04</w:t>
            </w:r>
          </w:p>
        </w:tc>
        <w:tc>
          <w:tcPr>
            <w:tcW w:type="dxa" w:w="7293"/>
          </w:tcPr>
          <w:p>
            <w:r>
              <w:rPr>
                <w:sz w:val="20"/>
                <w:szCs w:val="20"/>
              </w:rPr>
              <w:t xml:space="preserve">Загальний захід для пошукових промислів Euphausia superba</w:t>
            </w:r>
          </w:p>
        </w:tc>
      </w:tr>
      <w:tr>
        <w:tc>
          <w:tcPr>
            <w:tcW w:type="dxa" w:w="2057"/>
          </w:tcPr>
          <w:p>
            <w:r>
              <w:rPr>
                <w:sz w:val="20"/>
                <w:szCs w:val="20"/>
              </w:rPr>
              <w:t xml:space="preserve">51-06 (2019)</w:t>
            </w:r>
          </w:p>
        </w:tc>
        <w:tc>
          <w:tcPr>
            <w:tcW w:type="dxa" w:w="7293"/>
          </w:tcPr>
          <w:p>
            <w:r>
              <w:rPr>
                <w:sz w:val="20"/>
                <w:szCs w:val="20"/>
              </w:rPr>
              <w:t xml:space="preserve">Загальний захід наукового спостереження на промислах Euphausia superba</w:t>
            </w:r>
          </w:p>
        </w:tc>
      </w:tr>
    </w:tbl>
    <w:p>
      <w:pPr>
        <w:pStyle w:val="Heading2"/>
        <w:spacing w:after="100" w:before="200"/>
      </w:pPr>
      <w:r>
        <w:t xml:space="preserve">Охоронювані території (серія 90)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7"/>
        <w:gridCol w:w="7293"/>
      </w:tblGrid>
      <w:tr>
        <w:trPr>
          <w:tblHeader/>
        </w:trPr>
        <w:tc>
          <w:tcPr>
            <w:tcW w:type="dxa" w:w="2057"/>
            <w:shd w:fill="1F4E79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№ CM</w:t>
            </w:r>
          </w:p>
        </w:tc>
        <w:tc>
          <w:tcPr>
            <w:tcW w:type="dxa" w:w="7293"/>
            <w:shd w:fill="1F4E79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Назва / застосування</w:t>
            </w:r>
          </w:p>
        </w:tc>
      </w:tr>
      <w:tr>
        <w:tc>
          <w:tcPr>
            <w:tcW w:type="dxa" w:w="2057"/>
          </w:tcPr>
          <w:p>
            <w:r>
              <w:rPr>
                <w:sz w:val="20"/>
                <w:szCs w:val="20"/>
              </w:rPr>
              <w:t xml:space="preserve">91-01 (2004)</w:t>
            </w:r>
          </w:p>
        </w:tc>
        <w:tc>
          <w:tcPr>
            <w:tcW w:type="dxa" w:w="7293"/>
          </w:tcPr>
          <w:p>
            <w:r>
              <w:rPr>
                <w:sz w:val="20"/>
                <w:szCs w:val="20"/>
              </w:rPr>
              <w:t xml:space="preserve">Процедура надання захисту ділянкам CEMP</w:t>
            </w:r>
          </w:p>
        </w:tc>
      </w:tr>
      <w:tr>
        <w:tc>
          <w:tcPr>
            <w:tcW w:type="dxa" w:w="2057"/>
          </w:tcPr>
          <w:p>
            <w:r>
              <w:rPr>
                <w:sz w:val="20"/>
                <w:szCs w:val="20"/>
              </w:rPr>
              <w:t xml:space="preserve">91-02 (2024)</w:t>
            </w:r>
          </w:p>
        </w:tc>
        <w:tc>
          <w:tcPr>
            <w:tcW w:type="dxa" w:w="7293"/>
          </w:tcPr>
          <w:p>
            <w:r>
              <w:rPr>
                <w:sz w:val="20"/>
                <w:szCs w:val="20"/>
              </w:rPr>
              <w:t xml:space="preserve">Захист цінностей особливо керованих і охоронюваних районів Антарктики</w:t>
            </w:r>
          </w:p>
        </w:tc>
      </w:tr>
      <w:tr>
        <w:tc>
          <w:tcPr>
            <w:tcW w:type="dxa" w:w="2057"/>
          </w:tcPr>
          <w:p>
            <w:r>
              <w:rPr>
                <w:sz w:val="20"/>
                <w:szCs w:val="20"/>
              </w:rPr>
              <w:t xml:space="preserve">91-03 (2009)</w:t>
            </w:r>
          </w:p>
        </w:tc>
        <w:tc>
          <w:tcPr>
            <w:tcW w:type="dxa" w:w="7293"/>
          </w:tcPr>
          <w:p>
            <w:r>
              <w:rPr>
                <w:sz w:val="20"/>
                <w:szCs w:val="20"/>
              </w:rPr>
              <w:t xml:space="preserve">Захист південного шельфу Південних Оркнейських островів</w:t>
            </w:r>
          </w:p>
        </w:tc>
      </w:tr>
      <w:tr>
        <w:tc>
          <w:tcPr>
            <w:tcW w:type="dxa" w:w="2057"/>
          </w:tcPr>
          <w:p>
            <w:r>
              <w:rPr>
                <w:sz w:val="20"/>
                <w:szCs w:val="20"/>
              </w:rPr>
              <w:t xml:space="preserve">91-04 (2011)</w:t>
            </w:r>
          </w:p>
        </w:tc>
        <w:tc>
          <w:tcPr>
            <w:tcW w:type="dxa" w:w="7293"/>
          </w:tcPr>
          <w:p>
            <w:r>
              <w:rPr>
                <w:sz w:val="20"/>
                <w:szCs w:val="20"/>
              </w:rPr>
              <w:t xml:space="preserve">Загальні рамки створення морських охоронних районів CCAMLR</w:t>
            </w:r>
          </w:p>
        </w:tc>
      </w:tr>
      <w:tr>
        <w:tc>
          <w:tcPr>
            <w:tcW w:type="dxa" w:w="2057"/>
          </w:tcPr>
          <w:p>
            <w:r>
              <w:rPr>
                <w:sz w:val="20"/>
                <w:szCs w:val="20"/>
              </w:rPr>
              <w:t xml:space="preserve">91-05 (2016)</w:t>
            </w:r>
          </w:p>
        </w:tc>
        <w:tc>
          <w:tcPr>
            <w:tcW w:type="dxa" w:w="7293"/>
          </w:tcPr>
          <w:p>
            <w:r>
              <w:rPr>
                <w:sz w:val="20"/>
                <w:szCs w:val="20"/>
              </w:rPr>
              <w:t xml:space="preserve">Морський охоронний район моря Росса</w:t>
            </w:r>
          </w:p>
        </w:tc>
      </w:tr>
    </w:tbl>
    <w:p>
      <w:pPr>
        <w:pStyle w:val="Heading1"/>
        <w:spacing w:after="120" w:before="300"/>
      </w:pPr>
      <w:r>
        <w:t xml:space="preserve">Чинні резолюції Комісії (вибірково)</w:t>
      </w:r>
    </w:p>
    <w:p>
      <w:pPr>
        <w:spacing w:after="14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Резолюції — рекомендаційні (не обов'язкові для виконання) документи Комісії, що доповнюють заходи зі збереження: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7/IX — дрифтерний промисел у районі дії Конвенції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10/XII — вилов запасів, що зустрічаються як у межах, так і поза межами району дії Конвенції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14/XIX — Схема документування вилову: впровадження державами, що приєдналися, та не-Сторонами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16/XIX, 17/XX — застосування VMS у Схемі документування вилову та поза районом дії Конвенції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22/XXV — міжнародні дії для зниження випадкової смертності морських птахів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23/XXIII — безпека на борту суден, що ведуть промисел у районі дії Конвенції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25/XXV, 32/XXIX — протидія ННН-промислу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30/XXVIII, 36/41 — зміна клімату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34/XXXI — підвищення безпеки риболовних суден у районі дії Конвенції</w:t>
      </w:r>
    </w:p>
    <w:p>
      <w:pPr>
        <w:pStyle w:val="Heading1"/>
        <w:spacing w:after="120" w:before="300"/>
      </w:pPr>
      <w:r>
        <w:t xml:space="preserve">На що звернути особливу увагу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Ліміти вилову за підрайонами (серії 41, 42, 51) змінюються щороку — саме поточні цифри, а не заходи попередніх сезонів, визначають легальність вилову в конкретному рейсі.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CM 22-06/22-07/22-09 — регулюють поведінку судна при виявленні індикаторів ВМЕ; детальний визначник таксонів — окремий документ (VME Taxa Classification Guide, розділ 7 сайту).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CM 25-02/25-03 — вимоги до пристроїв мінімізації прилову птахів (стример-лінії, обважнення яруса) — перевіряються спостерігачем на кожному рейсі.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CM 10-05 (CDS) — електронна схема документування вилову іклача; практична реалізація — система e-CDS (посилання в розділі «Корисні посилання» на головній сторінці сайту).</w:t>
      </w:r>
    </w:p>
    <w:p>
      <w:pPr>
        <w:pBdr>
          <w:left w:val="single" w:color="2E86AB" w:sz="18" w:space="8"/>
        </w:pBdr>
        <w:shd w:fill="EAF1F8" w:val="clear"/>
        <w:spacing w:after="200" w:before="100"/>
      </w:pPr>
      <w:r>
        <w:rPr>
          <w:i/>
          <w:iCs/>
          <w:color w:val="444444"/>
          <w:sz w:val="20"/>
          <w:szCs w:val="20"/>
        </w:rPr>
        <w:t xml:space="preserve">Примітка: Точні цифри лімітів вилову, дати відкриття/закриття сезонів і повні технічні специфікації наведено в таблицях розділу 2 сайту (2.1) та в оригіналі документа — цей переказ призначений як карта документа, а не заміна його для розрахунків.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2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2026-07-15T06:25:38.348Z</dcterms:created>
  <dcterms:modified xsi:type="dcterms:W3CDTF">2026-07-15T06:25:38.348Z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