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Форма електронного ярусного журналу en_C2v2026a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en_C2_2026a.xlsx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3.1 Форми головні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Це основна робоча книга Excel, яку спостерігач заповнює безпосередньо в морі протягом усього рейсу — центральний документ обліку промислових операцій, вилову, прилову, мічення та ВМЕ-індикаторів. Структура з 9 аркушів послідовно охоплює весь цикл однієї виборки: від параметрів судна й знаряддя до фінального обліку кожної спійманої особини та кожної встановленої мітки.</w:t>
      </w:r>
    </w:p>
    <w:p>
      <w:pPr>
        <w:pStyle w:val="Heading1"/>
        <w:spacing w:after="120" w:before="300"/>
      </w:pPr>
      <w:r>
        <w:t xml:space="preserve">Структура — 9 аркушів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732"/>
      </w:tblGrid>
      <w:tr>
        <w:trPr>
          <w:tblHeader/>
        </w:trPr>
        <w:tc>
          <w:tcPr>
            <w:tcW w:type="dxa" w:w="261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Аркуш</w:t>
            </w:r>
          </w:p>
        </w:tc>
        <w:tc>
          <w:tcPr>
            <w:tcW w:type="dxa" w:w="673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поля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Опис призначення журналу та переліку аркушів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Vessel and Gear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IMO, назва судна, прапор, позивний, наглядач SISO, тип ярусу, тип головної лінії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Set and Haul Details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Приманка (до 3 типів), координати/час постановки й виборки (UTC), довжина лінії, кількість гачків, пристрій виключення китоподібних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Haul Catch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Код виду, утримано/викинуто/випущено живим, втрачено на поверхні, випадковий вилов — зелена вага та кількість (з мітками/без)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Conversion Factors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Код виду, код переробки, коефіцієнт переведення, тип розрізу, вага продукту/зелена вага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Tagging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До 3 ідентифікаторів міток, тип/колір/напис мітки, координати випуску, довжина/розмах крил, стать, код травми ската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Tag Recapture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Дані про повторний вилов: до 3 міток на рибу, довжина, стадія зрілості, вага гонад, стан місця мітки, збережені зразки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VME Data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Середина сегмента лінії, глибина, загальний об'єм (л), вага (кг), кількість одиниць-індикаторів ВМЕ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CCAMLR codes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Довідкові коди: тип промислу (C/R/S/N), підрайони/поділи, повний перелік кодів видів вилову (553 записи)</w:t>
            </w:r>
          </w:p>
        </w:tc>
      </w:tr>
    </w:tbl>
    <w:p>
      <w:pPr>
        <w:pStyle w:val="Heading1"/>
        <w:spacing w:after="120" w:before="300"/>
      </w:pPr>
      <w:r>
        <w:t xml:space="preserve">Довідник видових кодів (аркуш «CCAMLR codes»)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Аркуш містить повний перелік з 553 стандартизованих трилітерних кодів видів, що використовуються в усіх формах CCAMLR (а також збігаються з кодами ВМЕ-таксонів і кодами FAO). Приклади кодів, що трапляються найчастіше у промислі іклача: TOA — Dissostichus mawsoni (антарктичний іклач), TOP — D. eleginoides (патагонський іклач), TOT — Dissostichus spp. (невизначений до виду), GRV — Macrourus spp. (довгохвости, nei), ANI — Champsocephalus gunnari (макрелева крижана риба), RAJ — Rajidae (скати, nei), MZZ — Actinopterygii (загальний код «морські риби, nei»). Повний перелік практичніше шукати прямим пошуком у самому файлі, ніж запам'ятовувати.</w:t>
      </w:r>
    </w:p>
    <w:p>
      <w:pPr>
        <w:pStyle w:val="Heading1"/>
        <w:spacing w:after="120" w:before="300"/>
      </w:pPr>
      <w:r>
        <w:t xml:space="preserve">Практичні зауваги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Увесь час у всіх аркушах — виключно UTC, а не місцевий судновий час.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Вводити дані можна лише в клітинки з білим фоном; клітинки зі світло-зеленим фоном — довідкові випадаючі списки кодів.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Номер Set/Haul ID має бути наскрізним і збігатися з номером, який використовує судно у своїх комерційних формах — це ключ для звірки даних спостерігача з даними судна.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Аркуш «Tagging» і «Tag Recapture» напряму пов'язані з «Калькулятором статистики перекриття мічення» (окремий документ, розділ 3.4) — дані звідси періодично копіюються туди для контролю.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опис структури й призначення полів; самі значення (конкретні коди, формати клітинок, випадаючі списки) потрібно заповнювати безпосередньо у файлі-оригіналі.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2026-07-15T06:25:38.566Z</dcterms:created>
  <dcterms:modified xsi:type="dcterms:W3CDTF">2026-07-15T06:25:38.566Z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