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Інструкція з електронного ярусного журналу спостерігача, версія OL_v2026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Джерело: </w:t>
      </w:r>
      <w:r>
        <w:rPr>
          <w:sz w:val="20"/>
          <w:szCs w:val="20"/>
        </w:rPr>
        <w:t xml:space="preserve">2026 Observer Longline Logbook Instructions.pdf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Розділ сайту: </w:t>
      </w:r>
      <w:r>
        <w:rPr>
          <w:sz w:val="20"/>
          <w:szCs w:val="20"/>
        </w:rPr>
        <w:t xml:space="preserve">4.1–4.2 Форми та інструкції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розгорнутий структурований ПЕРЕКАЗ (own-words summary) змісту документа українською мовою, підготовлений для підготовки до іспиту CCAMLR SISO — НЕ дослівний переклад офіційного тексту. Для точних формулювань, юридично значущих визначень і повних таблиць звертайтесь до оригіналу (розділ «Бібліотека документів», пункт з відповідним джерелом).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Загальний вступ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Ці інструкції охоплюють версію 2026 електронного журналу спостерігача ярусного лову CCAMLR SISO — серію з 12 аркушів Excel, які зобов'язаний заповнювати кожен спостерігач SISO. Формат і зміст журналу суттєво змінилися порівняно з попередніми версіями, тому навіть досвідченим спостерігачам варто ознайомитися з інструкцією заново.</w:t>
      </w:r>
    </w:p>
    <w:p>
      <w:pPr>
        <w:pStyle w:val="Heading1"/>
        <w:spacing w:after="120" w:before="300"/>
      </w:pPr>
      <w:r>
        <w:t xml:space="preserve">Загальні зауваги, що стосуються всього журналу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Дані вводяться лише в клітинки з білим фоном; решта заблокована для редагування. Поля з повторюваною інформацією (напр., номер виборки) можна протягувати вниз.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 полів застосовано перевірки формату й типу даних (напр., Haul ID — лише ціле число, дата/час — лише у вказаному форматі); неправильне значення викликає повідомлення про помилку з поясненням.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 більшості полів спостерігач обирає варіант з випадаючого списку замість колишніх однолітерних/цифрових кодів — це спрощує заповнення.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Поля вільних коментарів здебільшого прибрано; для нестандартних ситуацій передбачено посилання на звіт про рейс, де можна дати розгорнутий опис із фото.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Довідкові списки кодів видів і переробки розміщені на початку кожного аркуша в клітинках зі світло-зеленим фоном.</w:t>
      </w:r>
    </w:p>
    <w:p>
      <w:pPr>
        <w:pStyle w:val="Heading1"/>
        <w:spacing w:after="120" w:before="300"/>
      </w:pPr>
      <w:r>
        <w:t xml:space="preserve">Огляд 12 аркушів журналу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6732"/>
      </w:tblGrid>
      <w:tr>
        <w:trPr>
          <w:tblHeader/>
        </w:trPr>
        <w:tc>
          <w:tcPr>
            <w:tcW w:type="dxa" w:w="2618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Аркуш</w:t>
            </w:r>
          </w:p>
        </w:tc>
        <w:tc>
          <w:tcPr>
            <w:tcW w:type="dxa" w:w="6732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Vessel and Gear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Дані судна (номер IMO, назва, позивний), характеристики знаряддя лову, деталі стример-ліній (за CM 25-02 Annex A).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Set and Haul Details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Деталі кожної постановки/виборки: наскрізний унікальний номер Set/Haul ID, час у UTC, координати.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Observed Haul Catch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Спостереження вилову й прилову під час випадкового облікового періоду (рекомендовано 25% на спостерігача); поля хижацтва.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Haul IMAF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Прилов морських птахів і ссавців під час виборки; фіксація спостережуваності, виду, долі тварини.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Marine Mammal Observation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Спостереження морських ссавців протягом того ж облікового періоду; ознаки депредації, чисельність (мін./макс.).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Haul VME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Дані з індикаторних таксонів ВМЕ по сегментах лінії; випадкова вибірка ~30% сегментів + усі сегменти з ≥5 одиницями-тригерами.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Biological Sampling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Біологічний відбір проб: довжина, вага, стать, стадія зрілості, отоліти; норма — ~7 риб/1000 гачків.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Conversion Factors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Тест коефіцієнта переведення: не менше 20 риб на район управління, повторювати щотижня.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Tagging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Мічення іклача та скатів спостерігачем або навченим членом екіпажу; умовне форматування підсвічує дублікати номерів міток.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Tag Recapture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Дані повторного вилову мічених риб: фотографія мітки на шаблоні-лінійці CCAMLR, біологічні виміри.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Waste Disposal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Втрата/скидання знарядь лову й відходів; частота (нерегулярно/щотижня/щодня).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IUU Sightings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Спостереження невідомих знарядь, сміття або суден, підозрюваних у ННН-промислі.</w:t>
            </w:r>
          </w:p>
        </w:tc>
      </w:tr>
    </w:tbl>
    <w:p>
      <w:pPr>
        <w:pStyle w:val="Heading1"/>
        <w:spacing w:after="120" w:before="300"/>
      </w:pPr>
      <w:r>
        <w:t xml:space="preserve">Детальний переказ інструкції за кожним аркушем</w:t>
      </w:r>
    </w:p>
    <w:p>
      <w:pPr>
        <w:pStyle w:val="Heading2"/>
        <w:spacing w:after="100" w:before="200"/>
      </w:pPr>
      <w:r>
        <w:t xml:space="preserve">1. Vessel and Gear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Дані судна (номер IMO, назва, позивний) заносяться безпосередньо. Характеристики знаряддя лову, надані Секретаріатом чи технічним координатором на основі нотифікації судна, перевіряються на борту й за розбіжності описуються у звіті про рейс. Для іспанської снасті й тротлайну потрібно зважити щонайменше 30 випадково обраних вантажів лінії. Стример-лінії мають відповідати CM 25-02, Додаток A; якщо лінія судна відповідає стандартній конфігурації, заповнюються базові поля, а деталі заміни лінії чи нестандартної конфігурації — лише в розділі 6 аркуша.</w:t>
      </w:r>
    </w:p>
    <w:p>
      <w:pPr>
        <w:pStyle w:val="Heading2"/>
        <w:spacing w:after="100" w:before="200"/>
      </w:pPr>
      <w:r>
        <w:t xml:space="preserve">2. Set and Haul Details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Фіксує деталі кожної постановки й виборки. Поле Set/Haul ID — наскрізний унікальний номер, що збігається з ідентифікатором, який судно використовує у власних комерційних формах. Заповнюється навіть тоді, коли під час операції не було вилову чи прилову. Увесь час — виключно в UTC, а не за судновим часом.</w:t>
      </w:r>
    </w:p>
    <w:p>
      <w:pPr>
        <w:pStyle w:val="Heading2"/>
        <w:spacing w:after="100" w:before="200"/>
      </w:pPr>
      <w:r>
        <w:t xml:space="preserve">3. Observed Haul Catch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Спостереження вилову й прилову на палубі протягом випадкового облікового періоду (рекомендовано 25% виборки на спостерігача). Робоче місце спостерігача під час виборки лінії має бути розташоване з урахуванням потреби збирати біологічний матеріал і фіксувати випадіння риби з лінії. Поля ознак хижацтва (кількість голів з вилученими хижаком частинами тіла, гачки лише з губами риби) використовуються для кількісної оцінки рівня й типів хижацтва.</w:t>
      </w:r>
    </w:p>
    <w:p>
      <w:pPr>
        <w:pStyle w:val="Heading2"/>
        <w:spacing w:after="100" w:before="200"/>
      </w:pPr>
      <w:r>
        <w:t xml:space="preserve">4. Haul IMAF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Прилов морських птахів і ссавців фіксується лише за особистого спостереження підйому тварини на борт протягом облікового періоду (це впливає на розрахунок екстрапольованої смертності) — окремо позначається, якщо тварину чи інформацію передав член екіпажу. Для кожної тварини фіксується момент вилову (постановка чи виборка), вид і доля. Мертвих птахів можна зберігати як заморожені зразки за вимогою організації-роботодавця; усіх птахів перевіряють на наявність кілець.</w:t>
      </w:r>
    </w:p>
    <w:p>
      <w:pPr>
        <w:pStyle w:val="Heading2"/>
        <w:spacing w:after="100" w:before="200"/>
      </w:pPr>
      <w:r>
        <w:t xml:space="preserve">5. Marine Mammal Observation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Спостереження за морськими ссавцями протягом того самого облікового періоду, що й Observed Haul Catch, незалежно від того, чи виявлено тварин. Ключові поля: можливість спостереження (погода/освітлення), ознаки хижацької поведінки (депредації), наявність/відсутність (у т.ч. за звуком), час першого спостереження в UTC, код виду до найнижчого можливого таксономічного рівня, мінімальна й максимальна оцінена чисельність.</w:t>
      </w:r>
    </w:p>
    <w:p>
      <w:pPr>
        <w:pStyle w:val="Heading2"/>
        <w:spacing w:after="100" w:before="200"/>
      </w:pPr>
      <w:r>
        <w:t xml:space="preserve">6. Haul VME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Судно ділить кожен ярус на сегменти по 1000 гачків або 1200 м (яка коротша) і зберігає організми-індикатори ВМЕ з кожного сегмента в 10-літрове відро; рекомендовано кольорове маркування сегментів. Спостерігач відбирає: (i) випадкову вибірку ~30% сегментів (позначає «Random») та (ii) кожен сегмент із 5+ одиницями-індикаторами — тригерний рівень (позначає «Trigger»). Одиниця-індикатор = 1 л для видів, що поміщаються в контейнер, або 1 кг для гіллястих видів. Випадкову й тригерну вибірку не можна плутати між собою.</w:t>
      </w:r>
    </w:p>
    <w:p>
      <w:pPr>
        <w:pStyle w:val="Heading2"/>
        <w:spacing w:after="100" w:before="200"/>
      </w:pPr>
      <w:r>
        <w:t xml:space="preserve">7. Biological Sampling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Орієнтовна норма для іклача — 7 риб/1000 гачків (35 риб на лінію з 5000 гачків): 10 риб повний профіль (вид, TL, стать, стадія зрілості гонад, вага, 10 отолітів), 25 риб — лише проміри. З'єднані короткі лінії («join line») враховуються як одна виборка. Для інших видів — до 10 особин/день або до 100/вид за рейс, із фіксацією номера кошика/трота/магазину. Стандартна довжина (SL) — від писка до кінця хребетного стовпа (легко визначити, зігнувши хвіст догори); загальна довжина (TL) — до кінчика хвоста без розтягування. Для Macrourus spp. додатково — довжина писок-анус (SA); для скатів — розмах крил (WS). У підрайонах 88.1/88.2 SSRU A і B додатково фіксуються травми скатів за кодами (таблиця нижче) — для мічених, повторно виловлених і біологічно відібраних особин.</w:t>
      </w:r>
    </w:p>
    <w:p>
      <w:pPr>
        <w:pStyle w:val="Heading2"/>
        <w:spacing w:after="100" w:before="200"/>
      </w:pPr>
      <w:r>
        <w:t xml:space="preserve">8. Conversion Factors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Відбір щонайменше 20 риб при вході в район управління (дослідницький блок/SSRU/підрайон), повторення щотижня. Процедура: (1) зафіксувати TL і зелену вагу до переробки (вода зі шлунка попередньо зливається); (2) зважити перероблену рибу після стандартного розрізу цеху; аркуш автоматично розраховує коефіцієнт переведення; (3) заповнити решту полів, включно з кодом «Grade» (якість продукту).</w:t>
      </w:r>
    </w:p>
    <w:p>
      <w:pPr>
        <w:pStyle w:val="Heading2"/>
        <w:spacing w:after="100" w:before="200"/>
      </w:pPr>
      <w:r>
        <w:t xml:space="preserve">9. Tagging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Мітить і випускає іклача спостерігач або навчений член екіпажу за протоколом Додатка 4 SISO Manual. Рибу НЕ можна мітити за наявності: гачкових ушкоджень поза ротовою областю, рожевих/білих зябер, видимої кровотечі, відкритих ран, пошкодження ока чи проникнення в порожнину тіла, саднин/втрати луски на площі хвоста, відсутності рухової активності. Аркуш підсвічує дублікати номерів міток; фіксується точна позиція випуску, а не позиція виборки.</w:t>
      </w:r>
    </w:p>
    <w:p>
      <w:pPr>
        <w:pStyle w:val="Heading2"/>
        <w:spacing w:after="100" w:before="200"/>
      </w:pPr>
      <w:r>
        <w:t xml:space="preserve">10. Tag Recapture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Уся мічена риба зберігається незалежно від часу на волі (COLTO пропонує щорічний приз за знайдені мітки). Обов'язкове фото мітки in situ з таймстампом на офіційному фотошаблоні CCAMLR з читабельним номером. Фото додаються до звіту про рейс або надсилаються окремо через технічного координатора. Заповнюються біологічні проміри з урахуванням специфічних полів для скатів/іклача.</w:t>
      </w:r>
    </w:p>
    <w:p>
      <w:pPr>
        <w:pStyle w:val="Heading2"/>
        <w:spacing w:after="100" w:before="200"/>
      </w:pPr>
      <w:r>
        <w:t xml:space="preserve">11. Waste Disposal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Знаряддя лову (непридатне через пошкодження/втрату/обрізання) і загальні відходи (пластик, метал, пакування, нафтопродукти, стоки) фіксуються окремо за категоріями «втрачено ненавмисно» (Lost) і «скинуто навмисно» (Discarded), із частотою: нерегулярно / щотижня / щодня. Колонка «retained» фіксує спосіб зберігання для утилізації на березі (спалено/не спалено).</w:t>
      </w:r>
    </w:p>
    <w:p>
      <w:pPr>
        <w:pStyle w:val="Heading2"/>
        <w:spacing w:after="100" w:before="200"/>
      </w:pPr>
      <w:r>
        <w:t xml:space="preserve">12. IUU Sightings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Звітування про особисто спостережене невідоме знаряддя, сміття чи судна, підозрювані в ННН-промислі. Судно зобов'язане звітувати Секретаріату, але спостереження спостерігача (особливо фото й коментарі щодо вигляду й діяльності судна) є важливим доповненням. Назва судна/позивний/прапор фіксуються з видимого на судні або з радіоконтакту (джерело обов'язково зазначається). Для знайдених зябрових сіток — виміри розміру вічка.</w:t>
      </w:r>
    </w:p>
    <w:p>
      <w:pPr>
        <w:pStyle w:val="Heading1"/>
        <w:spacing w:after="120" w:before="300"/>
      </w:pPr>
      <w:r>
        <w:t xml:space="preserve">Коди травм скатів (використовуються в аркушах Biological Sampling, Tagging, Tag Recapture)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3"/>
        <w:gridCol w:w="7948"/>
      </w:tblGrid>
      <w:tr>
        <w:trPr>
          <w:tblHeader/>
        </w:trPr>
        <w:tc>
          <w:tcPr>
            <w:tcW w:type="dxa" w:w="1403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7948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403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948"/>
          </w:tcPr>
          <w:p>
            <w:r>
              <w:rPr>
                <w:sz w:val="20"/>
                <w:szCs w:val="20"/>
              </w:rPr>
              <w:t xml:space="preserve">Видимих ушкоджень немає</w:t>
            </w:r>
          </w:p>
        </w:tc>
      </w:tr>
      <w:tr>
        <w:tc>
          <w:tcPr>
            <w:tcW w:type="dxa" w:w="1403"/>
          </w:tcPr>
          <w:p>
            <w:r>
              <w:rPr>
                <w:sz w:val="20"/>
                <w:szCs w:val="20"/>
              </w:rPr>
              <w:t xml:space="preserve">J</w:t>
            </w:r>
          </w:p>
        </w:tc>
        <w:tc>
          <w:tcPr>
            <w:tcW w:type="dxa" w:w="7948"/>
          </w:tcPr>
          <w:p>
            <w:r>
              <w:rPr>
                <w:sz w:val="20"/>
                <w:szCs w:val="20"/>
              </w:rPr>
              <w:t xml:space="preserve">Розрив хрящів щелепи або значний розрив тканини навколо рота</w:t>
            </w:r>
          </w:p>
        </w:tc>
      </w:tr>
      <w:tr>
        <w:tc>
          <w:tcPr>
            <w:tcW w:type="dxa" w:w="1403"/>
          </w:tcPr>
          <w:p>
            <w:r>
              <w:rPr>
                <w:sz w:val="20"/>
                <w:szCs w:val="20"/>
              </w:rPr>
              <w:t xml:space="preserve">G</w:t>
            </w:r>
          </w:p>
        </w:tc>
        <w:tc>
          <w:tcPr>
            <w:tcW w:type="dxa" w:w="7948"/>
          </w:tcPr>
          <w:p>
            <w:r>
              <w:rPr>
                <w:sz w:val="20"/>
                <w:szCs w:val="20"/>
              </w:rPr>
              <w:t xml:space="preserve">Кровотеча зябер на дорсальній або вентральній поверхні</w:t>
            </w:r>
          </w:p>
        </w:tc>
      </w:tr>
      <w:tr>
        <w:tc>
          <w:tcPr>
            <w:tcW w:type="dxa" w:w="1403"/>
          </w:tcPr>
          <w:p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7948"/>
          </w:tcPr>
          <w:p>
            <w:r>
              <w:rPr>
                <w:sz w:val="20"/>
                <w:szCs w:val="20"/>
              </w:rPr>
              <w:t xml:space="preserve">Пошкодження від вошей навколо перитонеальної порожнини</w:t>
            </w:r>
          </w:p>
        </w:tc>
      </w:tr>
      <w:tr>
        <w:tc>
          <w:tcPr>
            <w:tcW w:type="dxa" w:w="1403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7948"/>
          </w:tcPr>
          <w:p>
            <w:r>
              <w:rPr>
                <w:sz w:val="20"/>
                <w:szCs w:val="20"/>
              </w:rPr>
              <w:t xml:space="preserve">Пролапс кишківника понад 3 см, у т.ч. з кровотечею</w:t>
            </w:r>
          </w:p>
        </w:tc>
      </w:tr>
      <w:tr>
        <w:tc>
          <w:tcPr>
            <w:tcW w:type="dxa" w:w="1403"/>
          </w:tcPr>
          <w:p>
            <w:r>
              <w:rPr>
                <w:sz w:val="20"/>
                <w:szCs w:val="20"/>
              </w:rPr>
              <w:t xml:space="preserve">P</w:t>
            </w:r>
          </w:p>
        </w:tc>
        <w:tc>
          <w:tcPr>
            <w:tcW w:type="dxa" w:w="7948"/>
          </w:tcPr>
          <w:p>
            <w:r>
              <w:rPr>
                <w:sz w:val="20"/>
                <w:szCs w:val="20"/>
              </w:rPr>
              <w:t xml:space="preserve">Проникна травма перитонеальної порожнини</w:t>
            </w:r>
          </w:p>
        </w:tc>
      </w:tr>
      <w:tr>
        <w:tc>
          <w:tcPr>
            <w:tcW w:type="dxa" w:w="1403"/>
          </w:tcPr>
          <w:p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7948"/>
          </w:tcPr>
          <w:p>
            <w:r>
              <w:rPr>
                <w:sz w:val="20"/>
                <w:szCs w:val="20"/>
              </w:rPr>
              <w:t xml:space="preserve">Травма ока або дихальця</w:t>
            </w:r>
          </w:p>
        </w:tc>
      </w:tr>
      <w:tr>
        <w:tc>
          <w:tcPr>
            <w:tcW w:type="dxa" w:w="1403"/>
          </w:tcPr>
          <w:p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type="dxa" w:w="7948"/>
          </w:tcPr>
          <w:p>
            <w:r>
              <w:rPr>
                <w:sz w:val="20"/>
                <w:szCs w:val="20"/>
              </w:rPr>
              <w:t xml:space="preserve">Незначні поверхневі травми шкіри</w:t>
            </w:r>
          </w:p>
        </w:tc>
      </w:tr>
      <w:tr>
        <w:tc>
          <w:tcPr>
            <w:tcW w:type="dxa" w:w="1403"/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7948"/>
          </w:tcPr>
          <w:p>
            <w:r>
              <w:rPr>
                <w:sz w:val="20"/>
                <w:szCs w:val="20"/>
              </w:rPr>
              <w:t xml:space="preserve">Синці на дорсальній або вентральній стороні диска чи хвоста</w:t>
            </w:r>
          </w:p>
        </w:tc>
      </w:tr>
      <w:tr>
        <w:tc>
          <w:tcPr>
            <w:tcW w:type="dxa" w:w="1403"/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7948"/>
          </w:tcPr>
          <w:p>
            <w:r>
              <w:rPr>
                <w:sz w:val="20"/>
                <w:szCs w:val="20"/>
              </w:rPr>
              <w:t xml:space="preserve">Рубцева тканина навколо рота/щелепи від попередньої травми</w:t>
            </w:r>
          </w:p>
        </w:tc>
      </w:tr>
    </w:tbl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детальний переказ офіційної інструкції; точні формулювання, назви полів англійською та формат випадаючих списків — виключно в оригінальному PDF і в самому файлі журналу en_C2_2026a.xlsx.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2026-07-15T06:25:38.829Z</dcterms:created>
  <dcterms:modified xsi:type="dcterms:W3CDTF">2026-07-15T06:25:38.830Z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