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Identification Guide for Toothfish (офіційний постер)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Джерело: </w:t>
      </w:r>
      <w:r>
        <w:rPr>
          <w:sz w:val="20"/>
          <w:szCs w:val="20"/>
        </w:rPr>
        <w:t xml:space="preserve">Identification Guide for Toothfish (poster).pdf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Розділ сайту: </w:t>
      </w:r>
      <w:r>
        <w:rPr>
          <w:sz w:val="20"/>
          <w:szCs w:val="20"/>
        </w:rPr>
        <w:t xml:space="preserve">6.1–6.2 Визначники</w:t>
      </w:r>
    </w:p>
    <w:p>
      <w:pPr>
        <w:pBdr>
          <w:left w:val="single" w:color="2E86AB" w:sz="18" w:space="8"/>
        </w:pBdr>
        <w:shd w:fill="EAF1F8" w:val="clear"/>
        <w:spacing w:after="200" w:before="100"/>
      </w:pPr>
      <w:r>
        <w:rPr>
          <w:i/>
          <w:iCs/>
          <w:color w:val="444444"/>
          <w:sz w:val="20"/>
          <w:szCs w:val="20"/>
        </w:rPr>
        <w:t xml:space="preserve">Примітка: Це розгорнутий структурований ПЕРЕКАЗ (own-words summary) змісту документа українською мовою, підготовлений для підготовки до іспиту CCAMLR SISO — НЕ дослівний переклад офіційного тексту. Для точних формулювань, юридично значущих визначень і повних таблиць звертайтесь до оригіналу (розділ «Бібліотека документів», пункт з відповідним джерелом).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1"/>
        <w:spacing w:after="120" w:before="300"/>
      </w:pPr>
      <w:r>
        <w:t xml:space="preserve">Систематика та біологія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Ряд Perciformes, родина Nototheniidae, рід Dissostichus, два промислові види: D. eleginoides (патагонський іклач, код TOP) та D. mawsoni (антарктичний іклач, код TOA). Статева зрілість настає у 8–10 років, тривалість життя — до 45–50 років. У промислових уловах довжина зазвичай 80–140 см, вага 10–30 кг; великі особини — понад 160 см і 60–80 кг. Виловлюється ярусом, тралом і пастками на глибинах 500–1800 м.</w:t>
      </w:r>
    </w:p>
    <w:p>
      <w:pPr>
        <w:pStyle w:val="Heading1"/>
        <w:spacing w:after="120" w:before="300"/>
      </w:pPr>
      <w:r>
        <w:t xml:space="preserve">Схожі види (ризик неправильного маркування)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Хек (HKE)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Акули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Африканський баррелфіш (SEY)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Butterfish / bluenose (BUX) — при філетуванні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Гренландський палтус (GHL) — при філетуванні зі шкірою</w:t>
      </w:r>
    </w:p>
    <w:p>
      <w:pPr>
        <w:pStyle w:val="Heading1"/>
        <w:spacing w:after="120" w:before="300"/>
      </w:pPr>
      <w:r>
        <w:t xml:space="preserve">Як відрізнити два види іклача одне від одного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Забарвлення спинного плавця: у патагонського іклача — однорідне, з чіткими білими кінчиками; у антарктичного — чергування темних і світлих смуг.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Структура зубів: у патагонського іклача зуби відносно великі, довгі й гострі; у антарктичного — значно менші відносно розміру тіла.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Додатково: довжина бічної лінії та форма отолітів (у патагонського іклача — більші й видовженіші).</w:t>
      </w:r>
    </w:p>
    <w:p>
      <w:pPr>
        <w:pStyle w:val="Heading1"/>
        <w:spacing w:after="120" w:before="300"/>
      </w:pPr>
      <w:r>
        <w:t xml:space="preserve">Стадії зрілості гонад — самки (F1–F5)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8"/>
        <w:gridCol w:w="6732"/>
      </w:tblGrid>
      <w:tr>
        <w:trPr>
          <w:tblHeader/>
        </w:trPr>
        <w:tc>
          <w:tcPr>
            <w:tcW w:type="dxa" w:w="2618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Стадія</w:t>
            </w:r>
          </w:p>
        </w:tc>
        <w:tc>
          <w:tcPr>
            <w:tcW w:type="dxa" w:w="6732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Опис</w:t>
            </w:r>
          </w:p>
        </w:tc>
      </w:tr>
      <w:tr>
        <w:tc>
          <w:tcPr>
            <w:tcW w:type="dxa" w:w="2618"/>
          </w:tcPr>
          <w:p>
            <w:r>
              <w:rPr>
                <w:sz w:val="20"/>
                <w:szCs w:val="20"/>
              </w:rPr>
              <w:t xml:space="preserve">F1 Незріла</w:t>
            </w:r>
          </w:p>
        </w:tc>
        <w:tc>
          <w:tcPr>
            <w:tcW w:type="dxa" w:w="6732"/>
          </w:tcPr>
          <w:p>
            <w:r>
              <w:rPr>
                <w:sz w:val="20"/>
                <w:szCs w:val="20"/>
              </w:rPr>
              <w:t xml:space="preserve">Яєчник малий, твердий, ооцити не видно неозброєним оком.</w:t>
            </w:r>
          </w:p>
        </w:tc>
      </w:tr>
      <w:tr>
        <w:tc>
          <w:tcPr>
            <w:tcW w:type="dxa" w:w="2618"/>
          </w:tcPr>
          <w:p>
            <w:r>
              <w:rPr>
                <w:sz w:val="20"/>
                <w:szCs w:val="20"/>
              </w:rPr>
              <w:t xml:space="preserve">F2 Дозріваюча / стан спокою</w:t>
            </w:r>
          </w:p>
        </w:tc>
        <w:tc>
          <w:tcPr>
            <w:tcW w:type="dxa" w:w="6732"/>
          </w:tcPr>
          <w:p>
            <w:r>
              <w:rPr>
                <w:sz w:val="20"/>
                <w:szCs w:val="20"/>
              </w:rPr>
              <w:t xml:space="preserve">Яєчник більш видовжений, твердий, видно дрібні ооцити — зернистий вигляд.</w:t>
            </w:r>
          </w:p>
        </w:tc>
      </w:tr>
      <w:tr>
        <w:tc>
          <w:tcPr>
            <w:tcW w:type="dxa" w:w="2618"/>
          </w:tcPr>
          <w:p>
            <w:r>
              <w:rPr>
                <w:sz w:val="20"/>
                <w:szCs w:val="20"/>
              </w:rPr>
              <w:t xml:space="preserve">F3 Розвивається</w:t>
            </w:r>
          </w:p>
        </w:tc>
        <w:tc>
          <w:tcPr>
            <w:tcW w:type="dxa" w:w="6732"/>
          </w:tcPr>
          <w:p>
            <w:r>
              <w:rPr>
                <w:sz w:val="20"/>
                <w:szCs w:val="20"/>
              </w:rPr>
              <w:t xml:space="preserve">Яєчник великий, починає розширювати порожнину тіла, наявні ооцити двох розмірів.</w:t>
            </w:r>
          </w:p>
        </w:tc>
      </w:tr>
      <w:tr>
        <w:tc>
          <w:tcPr>
            <w:tcW w:type="dxa" w:w="2618"/>
          </w:tcPr>
          <w:p>
            <w:r>
              <w:rPr>
                <w:sz w:val="20"/>
                <w:szCs w:val="20"/>
              </w:rPr>
              <w:t xml:space="preserve">F4 Ікряна (гравідна)</w:t>
            </w:r>
          </w:p>
        </w:tc>
        <w:tc>
          <w:tcPr>
            <w:tcW w:type="dxa" w:w="6732"/>
          </w:tcPr>
          <w:p>
            <w:r>
              <w:rPr>
                <w:sz w:val="20"/>
                <w:szCs w:val="20"/>
              </w:rPr>
              <w:t xml:space="preserve">Яєчник великий, заповнює/розширює порожнину тіла; при розтині випливає велика ікра.</w:t>
            </w:r>
          </w:p>
        </w:tc>
      </w:tr>
      <w:tr>
        <w:tc>
          <w:tcPr>
            <w:tcW w:type="dxa" w:w="2618"/>
          </w:tcPr>
          <w:p>
            <w:r>
              <w:rPr>
                <w:sz w:val="20"/>
                <w:szCs w:val="20"/>
              </w:rPr>
              <w:t xml:space="preserve">F5 Відметана</w:t>
            </w:r>
          </w:p>
        </w:tc>
        <w:tc>
          <w:tcPr>
            <w:tcW w:type="dxa" w:w="6732"/>
          </w:tcPr>
          <w:p>
            <w:r>
              <w:rPr>
                <w:sz w:val="20"/>
                <w:szCs w:val="20"/>
              </w:rPr>
              <w:t xml:space="preserve">Яєчник зморщений, в'ялий, містить кілька залишкових ікринок і багато дрібних ооцитів.</w:t>
            </w:r>
          </w:p>
        </w:tc>
      </w:tr>
    </w:tbl>
    <w:p>
      <w:pPr>
        <w:pStyle w:val="Heading1"/>
        <w:spacing w:after="120" w:before="300"/>
      </w:pPr>
      <w:r>
        <w:t xml:space="preserve">Стадії зрілості гонад — самці (M1–M5)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8"/>
        <w:gridCol w:w="6732"/>
      </w:tblGrid>
      <w:tr>
        <w:trPr>
          <w:tblHeader/>
        </w:trPr>
        <w:tc>
          <w:tcPr>
            <w:tcW w:type="dxa" w:w="2618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Стадія</w:t>
            </w:r>
          </w:p>
        </w:tc>
        <w:tc>
          <w:tcPr>
            <w:tcW w:type="dxa" w:w="6732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Опис</w:t>
            </w:r>
          </w:p>
        </w:tc>
      </w:tr>
      <w:tr>
        <w:tc>
          <w:tcPr>
            <w:tcW w:type="dxa" w:w="2618"/>
          </w:tcPr>
          <w:p>
            <w:r>
              <w:rPr>
                <w:sz w:val="20"/>
                <w:szCs w:val="20"/>
              </w:rPr>
              <w:t xml:space="preserve">M1 Незрілий</w:t>
            </w:r>
          </w:p>
        </w:tc>
        <w:tc>
          <w:tcPr>
            <w:tcW w:type="dxa" w:w="6732"/>
          </w:tcPr>
          <w:p>
            <w:r>
              <w:rPr>
                <w:sz w:val="20"/>
                <w:szCs w:val="20"/>
              </w:rPr>
              <w:t xml:space="preserve">Сім'яник малий, прозорий, білуватий, тонкі довгі смужки біля хребта.</w:t>
            </w:r>
          </w:p>
        </w:tc>
      </w:tr>
      <w:tr>
        <w:tc>
          <w:tcPr>
            <w:tcW w:type="dxa" w:w="2618"/>
          </w:tcPr>
          <w:p>
            <w:r>
              <w:rPr>
                <w:sz w:val="20"/>
                <w:szCs w:val="20"/>
              </w:rPr>
              <w:t xml:space="preserve">M2 Розвивається / спокій</w:t>
            </w:r>
          </w:p>
        </w:tc>
        <w:tc>
          <w:tcPr>
            <w:tcW w:type="dxa" w:w="6732"/>
          </w:tcPr>
          <w:p>
            <w:r>
              <w:rPr>
                <w:sz w:val="20"/>
                <w:szCs w:val="20"/>
              </w:rPr>
              <w:t xml:space="preserve">Сім'яник білий, плаский, звивистий, добре видно неозброєним оком, ~1/4 порожнини тіла.</w:t>
            </w:r>
          </w:p>
        </w:tc>
      </w:tr>
      <w:tr>
        <w:tc>
          <w:tcPr>
            <w:tcW w:type="dxa" w:w="2618"/>
          </w:tcPr>
          <w:p>
            <w:r>
              <w:rPr>
                <w:sz w:val="20"/>
                <w:szCs w:val="20"/>
              </w:rPr>
              <w:t xml:space="preserve">M3 Розвинений</w:t>
            </w:r>
          </w:p>
        </w:tc>
        <w:tc>
          <w:tcPr>
            <w:tcW w:type="dxa" w:w="6732"/>
          </w:tcPr>
          <w:p>
            <w:r>
              <w:rPr>
                <w:sz w:val="20"/>
                <w:szCs w:val="20"/>
              </w:rPr>
              <w:t xml:space="preserve">Сім'яник великий, білий і звивистий, молочко не виділяється при натисканні чи розрізі.</w:t>
            </w:r>
          </w:p>
        </w:tc>
      </w:tr>
      <w:tr>
        <w:tc>
          <w:tcPr>
            <w:tcW w:type="dxa" w:w="2618"/>
          </w:tcPr>
          <w:p>
            <w:r>
              <w:rPr>
                <w:sz w:val="20"/>
                <w:szCs w:val="20"/>
              </w:rPr>
              <w:t xml:space="preserve">M4 Стиглий</w:t>
            </w:r>
          </w:p>
        </w:tc>
        <w:tc>
          <w:tcPr>
            <w:tcW w:type="dxa" w:w="6732"/>
          </w:tcPr>
          <w:p>
            <w:r>
              <w:rPr>
                <w:sz w:val="20"/>
                <w:szCs w:val="20"/>
              </w:rPr>
              <w:t xml:space="preserve">Сім'яник великий, опалесцентно-білий, при натисканні чи розрізі виділяються краплі молочка.</w:t>
            </w:r>
          </w:p>
        </w:tc>
      </w:tr>
      <w:tr>
        <w:tc>
          <w:tcPr>
            <w:tcW w:type="dxa" w:w="2618"/>
          </w:tcPr>
          <w:p>
            <w:r>
              <w:rPr>
                <w:sz w:val="20"/>
                <w:szCs w:val="20"/>
              </w:rPr>
              <w:t xml:space="preserve">M5 Відметаний</w:t>
            </w:r>
          </w:p>
        </w:tc>
        <w:tc>
          <w:tcPr>
            <w:tcW w:type="dxa" w:w="6732"/>
          </w:tcPr>
          <w:p>
            <w:r>
              <w:rPr>
                <w:sz w:val="20"/>
                <w:szCs w:val="20"/>
              </w:rPr>
              <w:t xml:space="preserve">Сім'яник зморщений, в'ялий, брудно-білого кольору.</w:t>
            </w:r>
          </w:p>
        </w:tc>
      </w:tr>
    </w:tbl>
    <w:p>
      <w:pPr>
        <w:pBdr>
          <w:left w:val="single" w:color="2E86AB" w:sz="18" w:space="8"/>
        </w:pBdr>
        <w:shd w:fill="EAF1F8" w:val="clear"/>
        <w:spacing w:after="200" w:before="100"/>
      </w:pPr>
      <w:r>
        <w:rPr>
          <w:i/>
          <w:iCs/>
          <w:color w:val="444444"/>
          <w:sz w:val="20"/>
          <w:szCs w:val="20"/>
        </w:rPr>
        <w:t xml:space="preserve">Примітка: Шкала відповідає стадіям F1–F5/M1–M5 SISO Manual (Gasco et al. 2011); детальний фотоатлас — окремий документ «Атлас стадій зрілості гонад».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2026-07-15T06:25:39.078Z</dcterms:created>
  <dcterms:modified xsi:type="dcterms:W3CDTF">2026-07-15T06:25:39.079Z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