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Easy Identification Keys for Grenadiers in 88.1 and 88.3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Easy Identification Keys for Grenadiers in 88.1 and 88.3_Sagndeok.pdf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6.4 Визначники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Призначення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Спрощений дихотомічний ключ визначення чотирьох видів довгохвостів роду Macrourus, що трапляються в підрайонах 88.1 та 88.3 (море Росса та прилеглі води) — родина Macrouridae, поширений прилов ярусного промислу іклача.</w:t>
      </w:r>
    </w:p>
    <w:p>
      <w:pPr>
        <w:pStyle w:val="Heading1"/>
        <w:spacing w:after="120" w:before="300"/>
      </w:pPr>
      <w:r>
        <w:t xml:space="preserve">Ключові ознаки чотирьох видів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5"/>
        <w:gridCol w:w="1122"/>
        <w:gridCol w:w="5423"/>
      </w:tblGrid>
      <w:tr>
        <w:trPr>
          <w:tblHeader/>
        </w:trPr>
        <w:tc>
          <w:tcPr>
            <w:tcW w:type="dxa" w:w="2805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Вид</w:t>
            </w:r>
          </w:p>
        </w:tc>
        <w:tc>
          <w:tcPr>
            <w:tcW w:type="dxa" w:w="112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Код</w:t>
            </w:r>
          </w:p>
        </w:tc>
        <w:tc>
          <w:tcPr>
            <w:tcW w:type="dxa" w:w="542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Ключові ознаки</w:t>
            </w:r>
          </w:p>
        </w:tc>
      </w:tr>
      <w:tr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Macrourus holotrachys</w:t>
            </w:r>
          </w:p>
        </w:tc>
        <w:tc>
          <w:tcPr>
            <w:tcW w:type="dxa" w:w="1122"/>
          </w:tcPr>
          <w:p>
            <w:r>
              <w:rPr>
                <w:sz w:val="20"/>
                <w:szCs w:val="20"/>
              </w:rPr>
              <w:t xml:space="preserve">MCH</w:t>
            </w:r>
          </w:p>
        </w:tc>
        <w:tc>
          <w:tcPr>
            <w:tcW w:type="dxa" w:w="5423"/>
          </w:tcPr>
          <w:p>
            <w:r>
              <w:rPr>
                <w:sz w:val="20"/>
                <w:szCs w:val="20"/>
              </w:rPr>
              <w:t xml:space="preserve">Промені: 8; луска на задній частині нижньої щелепи відсутня</w:t>
            </w:r>
          </w:p>
        </w:tc>
      </w:tr>
      <w:tr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Macrourus carinatus</w:t>
            </w:r>
          </w:p>
        </w:tc>
        <w:tc>
          <w:tcPr>
            <w:tcW w:type="dxa" w:w="1122"/>
          </w:tcPr>
          <w:p>
            <w:r>
              <w:rPr>
                <w:sz w:val="20"/>
                <w:szCs w:val="20"/>
              </w:rPr>
              <w:t xml:space="preserve">MCC</w:t>
            </w:r>
          </w:p>
        </w:tc>
        <w:tc>
          <w:tcPr>
            <w:tcW w:type="dxa" w:w="5423"/>
          </w:tcPr>
          <w:p>
            <w:r>
              <w:rPr>
                <w:sz w:val="20"/>
                <w:szCs w:val="20"/>
              </w:rPr>
              <w:t xml:space="preserve">Промені: 8; луска присутня; SDRAL 19–25; 2–5 рядів зубів</w:t>
            </w:r>
          </w:p>
        </w:tc>
      </w:tr>
      <w:tr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Macrourus caml</w:t>
            </w:r>
          </w:p>
        </w:tc>
        <w:tc>
          <w:tcPr>
            <w:tcW w:type="dxa" w:w="1122"/>
          </w:tcPr>
          <w:p>
            <w:r>
              <w:rPr>
                <w:sz w:val="20"/>
                <w:szCs w:val="20"/>
              </w:rPr>
              <w:t xml:space="preserve">QMC</w:t>
            </w:r>
          </w:p>
        </w:tc>
        <w:tc>
          <w:tcPr>
            <w:tcW w:type="dxa" w:w="5423"/>
          </w:tcPr>
          <w:p>
            <w:r>
              <w:rPr>
                <w:sz w:val="20"/>
                <w:szCs w:val="20"/>
              </w:rPr>
              <w:t xml:space="preserve">Промені: 8; луска присутня; SDRAL 30–40; 2–5 рядів зубів</w:t>
            </w:r>
          </w:p>
        </w:tc>
      </w:tr>
      <w:tr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Macrourus whitsoni</w:t>
            </w:r>
          </w:p>
        </w:tc>
        <w:tc>
          <w:tcPr>
            <w:tcW w:type="dxa" w:w="1122"/>
          </w:tcPr>
          <w:p>
            <w:r>
              <w:rPr>
                <w:sz w:val="20"/>
                <w:szCs w:val="20"/>
              </w:rPr>
              <w:t xml:space="preserve">WGR</w:t>
            </w:r>
          </w:p>
        </w:tc>
        <w:tc>
          <w:tcPr>
            <w:tcW w:type="dxa" w:w="5423"/>
          </w:tcPr>
          <w:p>
            <w:r>
              <w:rPr>
                <w:sz w:val="20"/>
                <w:szCs w:val="20"/>
              </w:rPr>
              <w:t xml:space="preserve">Промені: 9; один ряд зубів на нижній щелепі</w:t>
            </w:r>
          </w:p>
        </w:tc>
      </w:tr>
    </w:tbl>
    <w:p>
      <w:pPr>
        <w:pStyle w:val="Heading1"/>
        <w:spacing w:after="120" w:before="300"/>
      </w:pPr>
      <w:r>
        <w:t xml:space="preserve">Термінологія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SDRAL (Scales in a Diagonal Row from Anus to Lateral Line) — кількість лусок у діагональному ряду від ануса до бічної лінії; ключовий підрахунковий показник для розрізнення видів M. carinatus і M. caml, які зовні дуже схожі.</w:t>
      </w:r>
    </w:p>
    <w:p>
      <w:pPr>
        <w:pStyle w:val="Heading1"/>
        <w:spacing w:after="120" w:before="300"/>
      </w:pPr>
      <w:r>
        <w:t xml:space="preserve">Порядок визначення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Крок 1 — порахувати кількість променів (8 чи 9): 9 променів однозначно вказує на M. whitsoni.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Крок 2 (для видів з 8 променями) — перевірити наявність луски на задній частині нижньої щелепи: відсутність вказує на M. holotrachys.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Крок 3 (якщо луска присутня) — порахувати SDRAL: 19–25 вказує на M. carinatus, 30–40 — на M. caml.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Дихотомічний ключ і фотографії зовнішніх ознак — в оригінальному документі; підрахунок SDRAL вимагає практики на реальних зразках.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2026-07-15T06:25:39.185Z</dcterms:created>
  <dcterms:modified xsi:type="dcterms:W3CDTF">2026-07-15T06:25:39.185Z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