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Toothfish and Skate Tagging Manual, версія 2025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EN - Toothfish and Skate Tagging Manual 2025.docx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8.1–8.2 Мічення (Tagging)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Історія й масштаб програми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Програма мічення CCAMLR впроваджена в 2007 р. Станом на 2023 р. у районі дії Конвенції позначено 404 559 іклача (повернуто 49 270, тобто 12%) та 71 444 скатів (повернуто 2 444, тобто 3%). Понад 98% повторних виловів вдається пов'язати з початковим міченням.</w:t>
      </w:r>
    </w:p>
    <w:p>
      <w:pPr>
        <w:pStyle w:val="Heading1"/>
        <w:spacing w:after="120" w:before="300"/>
      </w:pPr>
      <w:r>
        <w:t xml:space="preserve">Підготовка до рейсу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Мітки CCAMLR (партіями по 1000 шт., замовляються через Секретаріат), рекомендовано 2 апарати для мічення на партію.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Апаратор і голки в справному стані, запасні частини й засоби для чищення.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Сачки для підйому риби та люльки (cradles).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Робоча станція: вимірювальна дошка, придатний накопичувальний резервуар.</w:t>
      </w:r>
    </w:p>
    <w:p>
      <w:pPr>
        <w:pStyle w:val="Heading1"/>
        <w:spacing w:after="120" w:before="300"/>
      </w:pPr>
      <w:r>
        <w:t xml:space="preserve">Стандартні операційні процедури мічення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Тримати станцію мічення готовою протягом усього періоду виборки.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Готувати підйомне спорядження заздалегідь (без використання багра-гафа).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Приймати рішення про мічення конкретної риби ще до її підйому на борт.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Виміряти стандартну й загальну довжину.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Встановити мітки, перевірити кріплення легким натягом, записати й перевірити номери.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Обережно випустити рибу назад у воду головою вперед.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Записати номер виборки, долю риби та координати випуску (з містка).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Загальний час поза водою — не більше 3 хвилин. Використання накопичувального резервуара — мінімізувати.</w:t>
      </w:r>
    </w:p>
    <w:p>
      <w:pPr>
        <w:pStyle w:val="Heading1"/>
        <w:spacing w:after="120" w:before="300"/>
      </w:pPr>
      <w:r>
        <w:t xml:space="preserve">Критерії непридатності до мічення — іклач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02"/>
      </w:tblGrid>
      <w:tr>
        <w:trPr>
          <w:tblHeader/>
        </w:trPr>
        <w:tc>
          <w:tcPr>
            <w:tcW w:type="dxa" w:w="74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60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Гачкове ушкодження присутнє будь-де, крім ротової області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Зябра рожеві або білі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Видима кровотеча зябер або надмірна кровотеча будь-де на тілі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Видиме пошкодження тіла з відкритими ранами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Видиме пошкодження ока або проникнення в порожнину тіла (зокрема ракоподібними — бокоплавами/вошами)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Стирання або втрата луски на площі, що дорівнює або перевищує площу хвоста риби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Не виявлено рухової активності риби</w:t>
            </w:r>
          </w:p>
        </w:tc>
      </w:tr>
    </w:tbl>
    <w:p>
      <w:pPr>
        <w:pStyle w:val="Heading1"/>
        <w:spacing w:after="120" w:before="300"/>
      </w:pPr>
      <w:r>
        <w:t xml:space="preserve">Критерії непридатності до мічення — скати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02"/>
      </w:tblGrid>
      <w:tr>
        <w:trPr>
          <w:tblHeader/>
        </w:trPr>
        <w:tc>
          <w:tcPr>
            <w:tcW w:type="dxa" w:w="74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60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Зламана щелепа або значний розрив тканини навколо рота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Білі або кровоточиві зябра на дорсальній чи вентральній поверхні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Пошкодження від вошей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Видимий пролапс значної частини кишківника або кровотеча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Травма ока або дихальця (spiracle)</w:t>
            </w:r>
          </w:p>
        </w:tc>
      </w:tr>
    </w:tbl>
    <w:p>
      <w:pPr>
        <w:pStyle w:val="Heading1"/>
        <w:spacing w:after="120" w:before="300"/>
      </w:pPr>
      <w:r>
        <w:t xml:space="preserve">Техніка встановлення мітки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Іклач: мітку вводять під кутом у другий спинний плавець так, щоб Т-подібний стрижень зафіксувався за променями плавця, вістрям назад; після встановлення — легкий натяг для перевірки кріплення.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Скати: одна мітка в м'яз кожного крила з боку очей, вводиться прямовисно між променями плавця.</w:t>
      </w:r>
    </w:p>
    <w:p>
      <w:pPr>
        <w:pStyle w:val="Heading1"/>
        <w:spacing w:after="120" w:before="300"/>
      </w:pPr>
      <w:r>
        <w:t xml:space="preserve">Накопичувальні резервуари (специфікація)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Розмір: щонайменше вдвічі більший за середню довжину риби (від 2 м).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Гладкі стінки, бажано округла форма, високий потік чистої морської води.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Об'єм риби не повинен перевищувати 10% об'єму води в резервуарі; іклач і скатів тримати окремо.</w:t>
      </w:r>
    </w:p>
    <w:p>
      <w:pPr>
        <w:pStyle w:val="Heading1"/>
        <w:spacing w:after="120" w:before="300"/>
      </w:pPr>
      <w:r>
        <w:t xml:space="preserve">Повторний вилов (recapture)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Будь-яку мічену рибу передають спостерігачу для відбору проб (тип III — довжина, стать, стадія зрілості, вага, отоліти).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Обов'язкове фото мітки in situ на фоні фірмового шаблону-лінійки CCAMLR з читабельним номером.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Фізичні мітки повертати Секретаріату більше не потрібно — досить якісного фото; фізичні мітки знищуються на борту.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Щорічний приз від COLTO (Coalition of Legal Toothfish Operators) за знайдені мітки.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Повна процедура з ілюстраціями (17 рисунків) — в оригінальному документі та розділі 8.2 сайту (клікабельні картки з підписами за офіційним номером «Figure N»).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2026-07-15T06:25:39.430Z</dcterms:created>
  <dcterms:modified xsi:type="dcterms:W3CDTF">2026-07-15T06:25:39.430Z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