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2E86AB"/>
          <w:sz w:val="22"/>
          <w:szCs w:val="22"/>
        </w:rPr>
        <w:t xml:space="preserve">ККАМЛР · СХЕМА МІЖНАРОДНОГО НАУКОВОГО СПОСТЕРЕЖЕННЯ</w:t>
      </w:r>
    </w:p>
    <w:p>
      <w:pPr>
        <w:spacing w:after="100" w:before="300"/>
        <w:jc w:val="center"/>
      </w:pPr>
      <w:r>
        <w:rPr>
          <w:b/>
          <w:bCs/>
          <w:color w:val="0B2E4E"/>
          <w:sz w:val="44"/>
          <w:szCs w:val="44"/>
        </w:rPr>
        <w:t xml:space="preserve">Ілюстрований посібник із заповнення</w:t>
      </w:r>
    </w:p>
    <w:p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 xml:space="preserve">Observer Logbook (OLv2026a) — журналу наукового спостерігача</w:t>
      </w:r>
    </w:p>
    <w:p>
      <w:pPr>
        <w:spacing w:after="500"/>
        <w:jc w:val="center"/>
      </w:pPr>
      <w:r>
        <w:rPr>
          <w:i/>
          <w:iCs/>
          <w:color w:val="5B6B79"/>
          <w:sz w:val="22"/>
          <w:szCs w:val="22"/>
        </w:rPr>
        <w:t xml:space="preserve">Ярусний промисел · 13 листів · розібрано на реальному завершеному прикладі</w:t>
      </w:r>
    </w:p>
    <w:p>
      <w:pPr>
        <w:spacing w:after="60"/>
        <w:jc w:val="center"/>
      </w:pPr>
      <w:r>
        <w:rPr>
          <w:color w:val="1B2733"/>
          <w:sz w:val="21"/>
          <w:szCs w:val="21"/>
        </w:rPr>
        <w:t xml:space="preserve">Приклад: судно SEVEN PARK, Ross Sea (88.1), грудень 2025</w:t>
      </w:r>
    </w:p>
    <w:p>
      <w:pPr>
        <w:spacing w:after="60"/>
        <w:jc w:val="center"/>
      </w:pPr>
      <w:r>
        <w:rPr>
          <w:color w:val="1B2733"/>
          <w:sz w:val="21"/>
          <w:szCs w:val="21"/>
        </w:rPr>
        <w:t xml:space="preserve">Спостерігачі: KIM SE CHEOL (ID 1), VALERII PARAMONOV (ID 2)</w:t>
      </w:r>
    </w:p>
    <w:p>
      <w:pPr>
        <w:spacing w:after="500"/>
        <w:jc w:val="center"/>
      </w:pPr>
      <w:r>
        <w:rPr>
          <w:color w:val="5B6B79"/>
          <w:sz w:val="18"/>
          <w:szCs w:val="18"/>
        </w:rPr>
        <w:t xml:space="preserve">Джерело даних: реальний заповнений журнал en_OLv2026a_SEVENPARK_DEC2025 (файл "...FILLED_v2 Starunov")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Про цей посібник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Це навчальний матеріал, підготовлений на основі реального завершеного журналу наукового спостерігача. Він ілюструє логіку та практику заповнення кожного з 12 робочих листів електронного OL-журналу CCAMLR (версія OLv2026a, ярусний промисел). Документ не замінює офіційний посібник спостерігача CCAMLR (Observer Manual) і Instructions for completing the electronic Observer Logbook — перед рейсом обов'язково звіряйтеся з чинною версією цих документів.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Загальна структура журналу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Observer Logbook (OL) — це електронна книга Excel з окремим листом на кожен тип спостережень. У версії OLv2026a для ярусного промислу вона містить 12 робочих листів плюс лист «Introduction» (вступ) і два довідкові листи — «CCAMLR Codes» (коди видів/держав/типів) та «Vessels» (довідник суден). Кожен рядок даних, як правило, прив'язаний до номера Haul (постановка/виборка яруса) — це наскрізний ключ, який дозволяє зіставляти інформацію з різних листів між собою (наприклад, улов на листі 3 і біологічні проби на листі 7 одного й того ж Haul № 2).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Лист «Introduction» — перелік усіх 12 робочих листів журналу та пояснення довідкових списків кодів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Ключові правила, спільні для всіх листів: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Один журнал = одне судно, один рейс. При переході на інше судно чи новий рейс потрібно створювати нову копію файлу.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Дати й час вказуються за UTC у форматі дд/мм/рррр гг:хв — не за суднового або місцевого часу.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Координати розбиваються на 4 окремі колонки: градуси широти, хвилини широти, градуси довготи, хвилини довготи. Від'ємне значення градусів = південна широта / західна довгота.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Види, країни, типи знарядь тощо вносяться лише кодом (наприклад TOA = Dissostichus mawsoni, іклач антарктичний), а не текстом. Розшифрування кодів — у довідкових списках угорі кожного листа та на листі «CCAMLR Codes».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Порожній лист (без жодного рядка даних) — це нормально, якщо відповідних подій за рейс не було (наприклад, не було зустрічей із суднами ННН-промислу). Лист не видаляється, а просто залишається з одними заголовками.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1. Vessel and Gear (Судно, знаряддя, спостерігачі)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Це «паспорт» рейсу — заповнюється один раз на початку. Блок (1) дублює дані судна з ідентифікаційних документів (IMO, назва, позивний) — вони мають повністю збігатися з тим, що зазначено у капітанському журналі C2, інакше два журнали не зіставляються. Блоки (2)–(4) відводять окремі рядки під трьох можливих спостерігачів (ID 1, 2, 3) із власними датами початку/завершення програми спостереження — це потрібно, якщо спостерігач змінюється по ходу рейсу.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Реальний приклад: SEVEN PARK, IMO 8608822, спостерігачі KIM SE CHEOL та VALERII PARAMONOV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(1) Vessel information — IMO, назва, позивний судна; мають збігатися з судновим C2-журналом.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(2)–(4) Observer Details — ім'я, національність, дати програми спостереження для кожного з до 3 спостерігачів; ID спостерігача (1/2/3) потім використовується як код у колонці «Observer ID» на інших листах.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(5) Fishing Details — чи відповідає конфігурація яруса поданому повідомленню (yes/no), борт вимітування (Starboard/Port), борт скидання відходів (Stern/Port/Starboard), тип і вага вантажів лінії.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(6)–(7) Streamer Line Details — параметри стримерної лінії для відлякування птахів (довжина, висота кріплення, кількість стримерів) — обов'язково при промислі без інтегрованого ваговою лінії.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2. Set and Haul Details (Постановка та виборка яруса)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Головний «хребет» журналу: один рядок на кожну постановку/виборку яруса (Haul). Ліва частина (Set Details) фіксує координати початку й кінця виставлення, кількість гачків, використання освітлення палуби; права частина (Haul Details) — координати та час виборки, чи використовувався пристрій відлякування птахів, скидання відходів під час виборки.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Кожен рядок = один Haul (постановка + виборка); ліва половина — Set Details, права — Haul Details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Set/Haul Number — наскрізний номер, який пов'язує цей рядок з рядками на всіх інших листах (Observed Haul Catch, Biological Sampling, VME тощо).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Number hooks set / Number Magazines-Cases-Trots Set — обсяг постановки; використовується для розрахунку CPUE (улову на одиницю зусилля).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Comment — текстове поле для нештатних ситуацій. У прикладі: «cut line 04/DEC/2025 04:05 ... All fishing gear retrieved» та «Haul interruption: 1 hrs» — обрив і повторне з'єднання ярусу з фіксацією втраченого часу.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Порада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Якщо постановку довелося перервати (обрив яруса, шторм), обов'язково заповніть «Haul interruption duration» і опишіть ситуацію в Comment — це не помилка, а штатний спосіб задокументувати нештатну подію.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3. Observed Haul Catch (Улов за період тальового обліку)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Тут фіксується улов, спостережений під час тальового періоду (частина виборки, яку спостерігач фізично оглядає рибина за рибиною). Кожен рядок — це один вид на один Haul, з розбивкою кількості за долею (залишено, викинуто, випущено, загублено на поверхні).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Улов іклача антарктичного (TOA) по кожному Haul: залишено з міткою / без мітки, викинуто мертвим, випущено живим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Number retained with/without tags — скільки риби залишено на борту (з попередньою міткою чи без).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Number discarded dead / released alive — прилов, який повернули в море мертвим або живим.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Number of heads/lips on hooks — ознаки хижацтва (косатки чи кашалоти з'їдають тіло риби з гачка, залишаючи лише голову чи губи) — важливий індикатор депредації.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4. Haul IMAF (Побічна смертність птахів і морських ссавців)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IMAF (Incidental Mortality of seabirds And other marine Fauna) фіксує кожен випадок травмування або загибелі птаха чи морського ссавця під час постановки/виборки. У нашому прикладі за весь рейс жодного такого випадку не було — тому рядків даних немає, лист складається лише із заголовків.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У наведеному рейсі лист залишається порожнім — випадків смертності зафіксовано не було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Species Code, Caught during hauling or setting — вид і момент інциденту.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Fate of animal / Cause of injury — результат (загинула/випущена) і ймовірна причина.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Sample retained / Type of sample — чи взято зразок (пір'я, тканина) для подальшого аналізу.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Важливо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Порожній лист IMAF — це не помилка заповнення, а свідчення відсутності побічної смертності. Лист не видаляють і не приховують — його наявність із самими заголовками є частиною офіційної звітності «нуль випадків».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5. Marine Mammal Observation (Спостереження морських ссавців)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Цей лист призначений для фіксації самого факту спостереження морських ссавців (незалежно від того, чи була депредація) протягом тальового періоду — вид, орієнтовна кількість особин, час першого спостереження.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У розглянутому прикладі лист також залишився без жодного рядка даних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Observation Possible — чи дозволяли умови (видимість, освітлення) вести спостереження взагалі.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Depredation Observed — чи ссавці об'їдали рибу з яруса під час виборки.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Minimum/Maximum Number Observed — оціночна чисельність спостережених тварин.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На що звернути увагу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Якщо за весь рейс на цьому листі жодного разу не заповнено навіть «Observation Possible = No», варто перевірити з відповідальним спостерігачем, чи лист заповнювався системно на кожному Haul, чи був пропущений — на відміну від IMAF (де «нуль» — очікуваний результат), тут очікується хоча б позначка можливості спостереження на кожен Haul.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6. Haul VME (Вразливі морські екосистеми)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Застосовується у промислах, де діє Захід зі збереження CM 22-07. Ярус умовно ділиться на 20-метрові (або інші стандартні) сегменти; для кожного сегмента, де було піднято індикаторні таксони ВМЕ (губки, корали, горгонарії тощо), записується код виду, кількість одиниць у «відерці спостерігача» (Observed Bucket VME Unit(s)) та вага. У нашому прикладі за весь рейс зафіксовано 677 таких записів — по кожному Haul і кожному відповідному сегменту.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Ярус розбивається на сегменти (VME Segment Number); для кожного — вид-індикатор ВМЕ (DMO, DWR тощо) і вага/об'єм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VME Segment Number — порядковий номер сегмента яруса в межах Haul.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Observed Bucket VME Unit(s) — категорія кількості (наприклад «Less than 5 units»).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VME Species Code — код таксона (DMO = губки Demospongiae, DWR = морські віяла/горгонарії тощо, повний список — на листі CCAMLR Codes).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Volume (litres) / Weight (kg) — обсяг і вага знайденого матеріалу цього таксона в сегменті.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7. Biological Sampling (Біологічні проби)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Найдетальніший лист — індивідуальний біологічний промір кожної відібраної риби. Саме ці дані спочатку записуються вручну на палубі в польовий бланк (паперовий тальовий листок), а вже потім переносяться в електронний журнал. Порівняння з реальним польовим бланком показало: значення переносяться в journal один-в-один, рядок за рядком, без перерахунків — наприклад, риба №1 з Haul 2 (146 см загальної довжини, 132 см стандартної, 48 кг, самка, стадія зрілості 2, гонади 700 г, отоліт відібрано) присутня в журналі саме в такому вигляді.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Приклад: Haul 2, риби №1–8, іклач антарктичний (TOA), довжина/вага/стать/стадія зрілості/вага гонад/отоліт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Fish Serial Number — порядковий номер риби в межах Haul (не наскрізний за весь рейс).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Total Length / Standard Length (cm) — загальна довжина та довжина до кінця луски (без хвостового плавця).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Sex / Fish Maturity Stage — стать (Female/Male/Unknown) і код стадії статевої зрілості (1 = незріла, 2 = дозріваюча тощо — повна шкала на сайті/у посібнику спостерігача).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Gonad Weight (g) — вага гонад, визначальна для оцінки нересту; фіксується лише за наявності визначеної статі й стадії.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Otolith(s) collected / Otolith Serial Number(s) — чи відібрано отоліт (для визначення віку) і його серійний номер для подальшого аналізу в лабораторії.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Практична порада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Ведіть паперовий тальовий листок так, щоб порядок і нумерація риб точно відповідали Fish Serial Number у журналі — це прибирає ризик переплутати рядки при перенесенні даних увечері після довгої вахти.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8. Tagging (Мічення риби)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При кожному успішному мічені й випуску іклача записується один рядок: хто мітив (Person Tagging — Crew/Observer), координати місця випуску, довжина риби та номери обох поставлених міток (за протоколом CCAMLR риба мітиться одразу двома T-bar мітками — Tag ID 1 і Tag ID 2 — на випадок втрати однієї з них). У наведеному прикладі за рейс поставлено мітки на 150 риб.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Кожна помічена й випущена риба отримує пару T-bar міток (First Tag / Second Tag) з унікальними номерами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Tag ID / Tag Number (First/Second/Third Tag) — номер мітки з кожного «слоту»; Third Tag використовується лише для риб, які вже мали одну-дві мітки при повторному випуску.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Person Tagging — хто фактично здійснив мічення (важливо для оцінки якості: спостерігач чи член екіпажу).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Successful — чи мічення визнано успішним (риба в задовільному стані випущена живою).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9. Conversion Factors (Коефіцієнти перерахунку ваги)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Улов на борту переробляють (найчастіше — обезголовлюють і патрають, код HGT), тому для оцінки запасу потрібно перераховувати перероблену вагу назад у вагу «як є» (green weight). Для цього на вибірці риб зважують і необроблену, і оброблену тушку та обчислюють коефіцієнт (Conversion Factor = Green Weight / Processed Weight).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Порівняння необробленої (Green Weight) і обробленої (Processed Weight) ваги для розрахунку коефіцієнта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Processing Code — спосіб обробки (наприклад HGT = Headed and Gutted).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Green Weight (kg) / Processed Weight (kg) — вага до і після обробки того самого об'єму риби.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Conversion Factor — розрахований коефіцієнт (у прикладі стабільно ≈1,7 для HGT іклача).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Cut Type / Weighing method — спосіб різання (вручну/машинно) і зважування — впливає на точність коефіцієнта.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10. Tag Recapture (Повторна поімка меченої риби)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Лист фіксує випадки, коли на борт піднімається риба, яка вже була раніше помічена (свій або чужий тег). Структура повторює мічення, але з трьома можливими «слотами» тегів (First/Second/Third Tag), бо риба може встигнути накопичити кілька міток за життя, плюс додаткові біологічні проміри на момент повторної поімки.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Єдиний випадок повторної поімки за рейс — риба з мітками A608892/A608893, знайдена екіпажем на Haul 1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Tag Finder — хто знайшов мітку (Crew/Observer).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Tag Type / Tag Colour / Tag Number / Tag Wording — для кожного зі знайдених тегів окремо: тип (T-bar), колір, номер і текст, вигравіюваний на тезі (наприклад «Rtn CCAMLR» — заклик повернути мітку в CCAMLR).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Length, Weight, Sex, Maturity Stage, Gonad Weight — повторний біологічний промір риби на момент повторної поімки.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8D7DA" w:sz="4"/>
              <w:left w:val="single" w:color="C62828" w:sz="36"/>
              <w:bottom w:val="single" w:color="F8D7DA" w:sz="4"/>
              <w:right w:val="single" w:color="F8D7DA" w:sz="4"/>
            </w:tcBorders>
            <w:shd w:fill="F8D7D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1"/>
                <w:szCs w:val="21"/>
              </w:rPr>
              <w:t xml:space="preserve">Реальна помилка заповнення, знайдена в цьому прикладі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У єдиному заповненому рядку значення зсунуті на одну колонку праворуч відносно заголовків: у колонці «Fish Serial Number» стоїть буквально текст «Fish Serial Number» замість значення, а в трьох незадіяних колонках «Third Tag» — теж не порожньо, а текст заголовків «Tag Type / Tag Colour / Tag Number / Tag Wording». Це типовий артефакт копіювання рядка-шаблону в новий рядок без очищення зайвих клітинок. Практичний висновок: після заповнення рядка завжди перевіряйте, що значення дійсно потрапили під потрібні заголовки (найпростіше — тимчасово заморозити верхній рядок і звірити колонку за колонкою), а порожні «слоти» (Second/Third Tag, якщо тегів менше) залишайте справді порожніми, а не з підказкою-заголовком.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11. Waste Disposal (Утилізація відходів)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Компактний лист, який заповнюється переважно раз на рейс (верхній блок — обладнання судна) плюс підсумкова таблиця по гачках і лінії яруса (скільки втрачено в морі, скільки викинуто на судні, скільки утилізовано штатно). Ці цифри використовуються для оцінки ризику «примарного» (ghost) знаряддя лову в морі.</w:t>
      </w:r>
    </w:p>
    <w:p>
      <w:pPr>
        <w:spacing w:after="60" w:before="100"/>
        <w:jc w:val="center"/>
      </w:pPr>
      <w:r>
        <w:drawing>
          <wp:inline distT="0" distB="0" distL="0" distR="0">
            <wp:extent cx="644842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Загальні дані про судно (інсинератор, накопичувачі) та підсумкова кількість втрачених/викинутих/збережених гачків і яруса за рейс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Is vessel equipped with an incinerator? / waste holding facilities? — базові характеристики судна щодо поводження з відходами.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Were plastic bands present on bait boxes? — перевірка на матеріал, небезпечний для морської фауни (пластикові стрічки з коробок наживки).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Fishing Gear: Lost / Discarded / Retained — підсумкова кількість гачків (та іншого знаряддя), втрачених у морі, викинутих чи утилізованих на борту, за весь рейс.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Лист 12. IUU Sightings (Спостереження суден/знарядь ННН-промислу)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Двочастинний лист: ліва половина — для виявлених безхазяйних знарядь лову (сіті, ярус) невідомого походження, права — для самих суден, які викликають підозру в незаконному, непідзвітному або нерегульованому (ННН/IUU) промислі. Заповнюється лише за фактом події.</w:t>
      </w:r>
    </w:p>
    <w:p>
      <w:pPr>
        <w:spacing w:after="60" w:before="100"/>
        <w:jc w:val="center"/>
      </w:pPr>
      <w:r>
        <w:drawing>
          <wp:inline distT="0" distB="0" distL="0" distR="0">
            <wp:extent cx="9420225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9"/>
          <w:sz w:val="18"/>
          <w:szCs w:val="18"/>
        </w:rPr>
        <w:t xml:space="preserve">У цьому рейсі суден чи знарядь незаконного промислу не зафіксовано — лист залишився порожнім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Як читати колонки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Gear Type / Mesh Size — тип знаряддя і розмір вічка (для зябрових сіток).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Vessel Type, Name, Call Sign, Flag State — ідентифікаційні дані підозрілого судна, якщо вдалося встановити.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Communication attempted / Activity / Heading — чи виходили на зв'язок із судном, його діяльність і курс на момент спостереження.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60" w:before="300"/>
      </w:pPr>
      <w:r>
        <w:rPr>
          <w:b/>
          <w:bCs/>
          <w:color w:val="0B2E4E"/>
          <w:sz w:val="34"/>
          <w:szCs w:val="34"/>
        </w:rPr>
        <w:t xml:space="preserve">Підсумок: журнал у цифрах (реальний приклад)</w:t>
      </w:r>
    </w:p>
    <w:p>
      <w:pPr>
        <w:spacing w:after="140" w:line="300"/>
      </w:pPr>
      <w:r>
        <w:rPr>
          <w:color w:val="1B2733"/>
          <w:sz w:val="21"/>
          <w:szCs w:val="21"/>
        </w:rPr>
        <w:t xml:space="preserve">Щоб показати, як 12 листів складаються в цілісну картину одного рейсу, ось зведена статистика заповненого прикладу (SEVEN PARK, Ross Sea, грудень 2025):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5960"/>
      </w:tblGrid>
      <w:tr>
        <w:tc>
          <w:tcPr>
            <w:tcW w:type="pct" w:w="54%"/>
            <w:shd w:fill="1F4E7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pct" w:w="46%"/>
            <w:shd w:fill="1F4E7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pct" w:w="54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Постановок/виборок яруса (Haul)</w:t>
            </w:r>
          </w:p>
        </w:tc>
        <w:tc>
          <w:tcPr>
            <w:tcW w:type="pct" w:w="46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pct" w:w="54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Записів улову за тальовий період</w:t>
            </w:r>
          </w:p>
        </w:tc>
        <w:tc>
          <w:tcPr>
            <w:tcW w:type="pct" w:w="46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≈100</w:t>
            </w:r>
          </w:p>
        </w:tc>
      </w:tr>
      <w:tr>
        <w:tc>
          <w:tcPr>
            <w:tcW w:type="pct" w:w="54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Сегментів ВМЕ зафіксовано</w:t>
            </w:r>
          </w:p>
        </w:tc>
        <w:tc>
          <w:tcPr>
            <w:tcW w:type="pct" w:w="46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677</w:t>
            </w:r>
          </w:p>
        </w:tc>
      </w:tr>
      <w:tr>
        <w:tc>
          <w:tcPr>
            <w:tcW w:type="pct" w:w="54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Індивідуальних біологічних промірів</w:t>
            </w:r>
          </w:p>
        </w:tc>
        <w:tc>
          <w:tcPr>
            <w:tcW w:type="pct" w:w="46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pct" w:w="54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Риб помічено і випущено</w:t>
            </w:r>
          </w:p>
        </w:tc>
        <w:tc>
          <w:tcPr>
            <w:tcW w:type="pct" w:w="46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pct" w:w="54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Записів конверсійних коефіцієнтів</w:t>
            </w:r>
          </w:p>
        </w:tc>
        <w:tc>
          <w:tcPr>
            <w:tcW w:type="pct" w:w="46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pct" w:w="54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Повторних поімок меченої риби</w:t>
            </w:r>
          </w:p>
        </w:tc>
        <w:tc>
          <w:tcPr>
            <w:tcW w:type="pct" w:w="46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54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Випадків побічної смертності птахів/ссавців (IMAF)</w:t>
            </w:r>
          </w:p>
        </w:tc>
        <w:tc>
          <w:tcPr>
            <w:tcW w:type="pct" w:w="46%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54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Спостережень суден/знарядь ННН-промислу</w:t>
            </w:r>
          </w:p>
        </w:tc>
        <w:tc>
          <w:tcPr>
            <w:tcW w:type="pct" w:w="46%"/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733"/>
                <w:sz w:val="20"/>
                <w:szCs w:val="20"/>
              </w:rPr>
              <w:t xml:space="preserve">0</w:t>
            </w:r>
          </w:p>
        </w:tc>
      </w:tr>
    </w:tbl>
    <w:p>
      <w:pPr>
        <w:spacing w:after="140" w:line="300"/>
      </w:pPr>
      <w:r>
        <w:rPr>
          <w:color w:val="1B2733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Три головні принципи, які варто запам'ятати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Haul Number — єдиний ключ, що зшиває всі 12 листів в одну історію рейсу; помилка в номері Haul на будь-якому листі розриває цей зв'язок.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Порожній лист ≠ незаповнений лист. IMAF, Marine Mammal Observation, Tag Recapture, IUU Sightings нерідко залишаються без жодного рядка даних — і це є правильним відображенням реальності, якщо відповідних подій не було.</w:t>
      </w:r>
    </w:p>
    <w:p>
      <w:pPr>
        <w:spacing w:after="70" w:line="280"/>
        <w:ind w:left="340"/>
      </w:pPr>
      <w:r>
        <w:rPr>
          <w:color w:val="1B2733"/>
          <w:sz w:val="21"/>
          <w:szCs w:val="21"/>
        </w:rPr>
        <w:t xml:space="preserve">— Ніколи не копіюйте рядок заголовків як «заготовку» для нового рядка даних — так з'являються приховані помилки на кшталт зсуву колонок, знайденого в прикладі на листі Tag Recapture.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pct" w:w="100%"/>
            <w:tcBorders>
              <w:top w:val="single" w:color="FFF3CD" w:sz="4"/>
              <w:left w:val="single" w:color="E0A800" w:sz="36"/>
              <w:bottom w:val="single" w:color="FFF3CD" w:sz="4"/>
              <w:right w:val="single" w:color="FFF3CD" w:sz="4"/>
            </w:tcBorders>
            <w:shd w:fill="FFF3C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A6600"/>
                <w:sz w:val="21"/>
                <w:szCs w:val="21"/>
              </w:rPr>
              <w:t xml:space="preserve">Дисклеймер</w:t>
            </w:r>
          </w:p>
          <w:p>
            <w:pPr>
              <w:spacing w:after="0" w:line="280"/>
            </w:pPr>
            <w:r>
              <w:rPr>
                <w:color w:val="1B2733"/>
                <w:sz w:val="20"/>
                <w:szCs w:val="20"/>
              </w:rPr>
              <w:t xml:space="preserve">Цей посібник ілюструє логіку заповнення на основі одного реального завершеного журналу і не є офіційною інструкцією CCAMLR. Перед рейсом обов'язково користуйтеся чинними офіційними документами: CCAMLR Observer Manual та Instructions for completing the electronic Observer Logbook для відповідного промислового сезону.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9"/>
        <w:sz w:val="15"/>
        <w:szCs w:val="15"/>
      </w:rPr>
      <w:t xml:space="preserve">Сторінка </w:t>
    </w:r>
    <w:r>
      <w:rPr>
        <w:color w:val="5B6B7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B79"/>
        <w:sz w:val="15"/>
        <w:szCs w:val="15"/>
      </w:rPr>
      <w:t xml:space="preserve"> з </w:t>
    </w:r>
    <w:r>
      <w:rPr>
        <w:color w:val="5B6B7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9"/>
        <w:sz w:val="15"/>
        <w:szCs w:val="15"/>
      </w:rPr>
      <w:t xml:space="preserve">Посібник із заповнення OLv2026a · ККАМЛР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a6c16431bbf31d7b7e67af718b31400aa6c3a1.jpg"/><Relationship Id="rId10" Type="http://schemas.openxmlformats.org/officeDocument/2006/relationships/image" Target="media/9896cf7f06a204012e0731360dcea423345af26d.jpg"/><Relationship Id="rId11" Type="http://schemas.openxmlformats.org/officeDocument/2006/relationships/image" Target="media/6e429ddb0fa9d8659f070677ef18f43dd54533d1.jpg"/><Relationship Id="rId12" Type="http://schemas.openxmlformats.org/officeDocument/2006/relationships/image" Target="media/ef0af18f7206a1676f9789a33b0f0d4dbcdef885.jpg"/><Relationship Id="rId13" Type="http://schemas.openxmlformats.org/officeDocument/2006/relationships/image" Target="media/1f58176794d53b216ecaf79a83466d876a082c23.jpg"/><Relationship Id="rId14" Type="http://schemas.openxmlformats.org/officeDocument/2006/relationships/image" Target="media/297a3f73376ecebb4db14123152b2e00cce9001d.jpg"/><Relationship Id="rId15" Type="http://schemas.openxmlformats.org/officeDocument/2006/relationships/image" Target="media/80a21b40ec9f1a4d4a9438ac76fd73754a0d42c4.jpg"/><Relationship Id="rId16" Type="http://schemas.openxmlformats.org/officeDocument/2006/relationships/image" Target="media/e9307e80b1ed91b20c11980d5b0deea87576f733.jpg"/><Relationship Id="rId17" Type="http://schemas.openxmlformats.org/officeDocument/2006/relationships/image" Target="media/b3007aef8a82fd131c9b4394170e5a12a228703c.jpg"/><Relationship Id="rId18" Type="http://schemas.openxmlformats.org/officeDocument/2006/relationships/image" Target="media/b0572177608e6adca48977b6bbe085d1177343d2.jpg"/><Relationship Id="rId19" Type="http://schemas.openxmlformats.org/officeDocument/2006/relationships/image" Target="media/357f54a6054fe041814cb6e6229ef3c1252032b2.jpg"/><Relationship Id="rId20" Type="http://schemas.openxmlformats.org/officeDocument/2006/relationships/image" Target="media/69b36c4f5f8065711ef9c4f61e32cdc2e31bb9c6.jpg"/><Relationship Id="rId21" Type="http://schemas.openxmlformats.org/officeDocument/2006/relationships/image" Target="media/69da2b40be357ed79cee861b04fa19d28d9374b1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2026-07-25T05:20:00.100Z</dcterms:created>
  <dcterms:modified xsi:type="dcterms:W3CDTF">2026-07-25T05:20:00.100Z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