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Схема міжнародного наукового спостереження CCAMLR (SISO)</w:t>
      </w:r>
    </w:p>
    <w:p>
      <w:pPr>
        <w:spacing w:after="140"/>
      </w:pPr>
      <w:r>
        <w:rPr>
          <w:b/>
          <w:bCs/>
          <w:sz w:val="20"/>
          <w:szCs w:val="20"/>
        </w:rPr>
        <w:t xml:space="preserve">Джерело: </w:t>
      </w:r>
      <w:r>
        <w:rPr>
          <w:sz w:val="20"/>
          <w:szCs w:val="20"/>
        </w:rPr>
        <w:t xml:space="preserve">e-pt10_4.pdf — офіційний текст Схеми SISO</w:t>
      </w:r>
    </w:p>
    <w:p>
      <w:pPr>
        <w:spacing w:after="140"/>
      </w:pPr>
      <w:r>
        <w:rPr>
          <w:b/>
          <w:bCs/>
          <w:sz w:val="20"/>
          <w:szCs w:val="20"/>
        </w:rPr>
        <w:t xml:space="preserve">Розділ сайту: </w:t>
      </w:r>
      <w:r>
        <w:rPr>
          <w:sz w:val="20"/>
          <w:szCs w:val="20"/>
        </w:rPr>
        <w:t xml:space="preserve">1.2 Керівні документи</w:t>
      </w:r>
    </w:p>
    <w:p>
      <w:pPr>
        <w:pBdr>
          <w:left w:val="single" w:color="2E86AB" w:sz="18" w:space="8"/>
        </w:pBdr>
        <w:shd w:fill="EAF1F8" w:val="clear"/>
        <w:spacing w:after="200" w:before="100"/>
      </w:pPr>
      <w:r>
        <w:rPr>
          <w:i/>
          <w:iCs/>
          <w:color w:val="444444"/>
          <w:sz w:val="20"/>
          <w:szCs w:val="20"/>
        </w:rPr>
        <w:t xml:space="preserve">Примітка: Це розгорнутий структурований ПЕРЕКАЗ (own-words summary) змісту документа українською мовою, підготовлений для підготовки до іспиту CCAMLR SISO — НЕ дослівний переклад офіційного тексту. Для точних формулювань, юридично значущих визначень і повних таблиць звертайтесь до оригіналу (розділ «Бібліотека документів», пункт з відповідним джерелом).</w:t>
      </w:r>
    </w:p>
    <w:p>
      <w:pPr>
        <w:pBdr>
          <w:bottom w:val="single" w:color="CCCCCC" w:sz="6" w:space="4"/>
        </w:pBdr>
        <w:spacing w:after="200"/>
      </w:pPr>
    </w:p>
    <w:p>
      <w:pPr>
        <w:pStyle w:val="Heading1"/>
        <w:spacing w:after="120" w:before="300"/>
      </w:pPr>
      <w:r>
        <w:t xml:space="preserve">Призначення документа</w:t>
      </w:r>
    </w:p>
    <w:p>
      <w:pPr>
        <w:spacing w:after="140"/>
      </w:pPr>
      <w:r>
        <w:rPr>
          <w:b w:val="false"/>
          <w:bCs w:val="false"/>
          <w:i w:val="false"/>
          <w:iCs w:val="false"/>
          <w:sz w:val="22"/>
          <w:szCs w:val="22"/>
        </w:rPr>
        <w:t xml:space="preserve">Схема міжнародного наукового спостереження (Scheme of International Scientific Observation, SISO) — це документ, ухвалений Комісією CCAMLR на виконання статті XXIV Конвенції. Він встановлює правову й організаційну рамку, за якою наукові спостерігачі одних держав-членів працюють на промислових суднах під прапором інших держав-членів, забезпечуючи незалежний, стандартизований збір даних про промисел. Текст структуровано у вісім розділів (A–H) і два додатки.</w:t>
      </w:r>
    </w:p>
    <w:p>
      <w:pPr>
        <w:pStyle w:val="Heading1"/>
        <w:spacing w:after="120" w:before="300"/>
      </w:pPr>
      <w:r>
        <w:t xml:space="preserve">Розділи 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8602"/>
      </w:tblGrid>
      <w:tr>
        <w:trPr>
          <w:tblHeader/>
        </w:trPr>
        <w:tc>
          <w:tcPr>
            <w:tcW w:type="dxa" w:w="748"/>
            <w:shd w:fill="1F4E79" w:val="clear"/>
          </w:tcPr>
          <w:p>
            <w:r>
              <w:rPr>
                <w:b/>
                <w:bCs/>
                <w:color w:val="FFFFFF"/>
                <w:sz w:val="20"/>
                <w:szCs w:val="20"/>
              </w:rPr>
              <w:t xml:space="preserve">Розд.</w:t>
            </w:r>
          </w:p>
        </w:tc>
        <w:tc>
          <w:tcPr>
            <w:tcW w:type="dxa" w:w="8602"/>
            <w:shd w:fill="1F4E79" w:val="clear"/>
          </w:tcPr>
          <w:p>
            <w:r>
              <w:rPr>
                <w:b/>
                <w:bCs/>
                <w:color w:val="FFFFFF"/>
                <w:sz w:val="20"/>
                <w:szCs w:val="20"/>
              </w:rPr>
              <w:t xml:space="preserve">Зміст</w:t>
            </w:r>
          </w:p>
        </w:tc>
      </w:tr>
      <w:tr>
        <w:tc>
          <w:tcPr>
            <w:tcW w:type="dxa" w:w="748"/>
          </w:tcPr>
          <w:p>
            <w:r>
              <w:rPr>
                <w:sz w:val="20"/>
                <w:szCs w:val="20"/>
              </w:rPr>
              <w:t xml:space="preserve">A</w:t>
            </w:r>
          </w:p>
        </w:tc>
        <w:tc>
          <w:tcPr>
            <w:tcW w:type="dxa" w:w="8602"/>
          </w:tcPr>
          <w:p>
            <w:r>
              <w:rPr>
                <w:sz w:val="20"/>
                <w:szCs w:val="20"/>
              </w:rPr>
              <w:t xml:space="preserve">Кожен Член Комісії може призначати наукових спостерігачів (ст. XXIV Конвенції). Визначено функції спостерігачів (Додаток I), статус «Держави, що призначає» та «Держави, що приймає», вимоги до кваліфікації, мовної підготовки, посвідчення особи, обов'язок подати звіти й журнали протягом місяця після завершення рейсу.</w:t>
            </w:r>
          </w:p>
        </w:tc>
      </w:tr>
      <w:tr>
        <w:tc>
          <w:tcPr>
            <w:tcW w:type="dxa" w:w="748"/>
          </w:tcPr>
          <w:p>
            <w:r>
              <w:rPr>
                <w:sz w:val="20"/>
                <w:szCs w:val="20"/>
              </w:rPr>
              <w:t xml:space="preserve">B</w:t>
            </w:r>
          </w:p>
        </w:tc>
        <w:tc>
          <w:tcPr>
            <w:tcW w:type="dxa" w:w="8602"/>
          </w:tcPr>
          <w:p>
            <w:r>
              <w:rPr>
                <w:sz w:val="20"/>
                <w:szCs w:val="20"/>
              </w:rPr>
              <w:t xml:space="preserve">Держави-члени зобов'язуються брати на борт призначених наукових спостерігачів відповідно до двосторонніх домовленостей: статус офіцера судна, повний доступ до даних і обладнання, безпечні умови праці.</w:t>
            </w:r>
          </w:p>
        </w:tc>
      </w:tr>
      <w:tr>
        <w:tc>
          <w:tcPr>
            <w:tcW w:type="dxa" w:w="748"/>
          </w:tcPr>
          <w:p>
            <w:r>
              <w:rPr>
                <w:sz w:val="20"/>
                <w:szCs w:val="20"/>
              </w:rPr>
              <w:t xml:space="preserve">C</w:t>
            </w:r>
          </w:p>
        </w:tc>
        <w:tc>
          <w:tcPr>
            <w:tcW w:type="dxa" w:w="8602"/>
          </w:tcPr>
          <w:p>
            <w:r>
              <w:rPr>
                <w:sz w:val="20"/>
                <w:szCs w:val="20"/>
              </w:rPr>
              <w:t xml:space="preserve">Перелік інформації, яку Держава, що призначає, надає Секретаріату до розгортання спостерігача.</w:t>
            </w:r>
          </w:p>
        </w:tc>
      </w:tr>
      <w:tr>
        <w:tc>
          <w:tcPr>
            <w:tcW w:type="dxa" w:w="748"/>
          </w:tcPr>
          <w:p>
            <w:r>
              <w:rPr>
                <w:sz w:val="20"/>
                <w:szCs w:val="20"/>
              </w:rPr>
              <w:t xml:space="preserve">D</w:t>
            </w:r>
          </w:p>
        </w:tc>
        <w:tc>
          <w:tcPr>
            <w:tcW w:type="dxa" w:w="8602"/>
          </w:tcPr>
          <w:p>
            <w:r>
              <w:rPr>
                <w:sz w:val="20"/>
                <w:szCs w:val="20"/>
              </w:rPr>
              <w:t xml:space="preserve">Вимоги до об'єктивності та наукової доброчесності даних: заборони для спостерігача та для власника/капітана судна; обмеження щодо повторних послідовних рейсів; конфіденційність даних.</w:t>
            </w:r>
          </w:p>
        </w:tc>
      </w:tr>
      <w:tr>
        <w:tc>
          <w:tcPr>
            <w:tcW w:type="dxa" w:w="748"/>
          </w:tcPr>
          <w:p>
            <w:r>
              <w:rPr>
                <w:sz w:val="20"/>
                <w:szCs w:val="20"/>
              </w:rPr>
              <w:t xml:space="preserve">E</w:t>
            </w:r>
          </w:p>
        </w:tc>
        <w:tc>
          <w:tcPr>
            <w:tcW w:type="dxa" w:w="8602"/>
          </w:tcPr>
          <w:p>
            <w:r>
              <w:rPr>
                <w:sz w:val="20"/>
                <w:szCs w:val="20"/>
              </w:rPr>
              <w:t xml:space="preserve">Порядок дій Держав у разі порушень цієї Схеми з боку спостерігача або екіпажу судна.</w:t>
            </w:r>
          </w:p>
        </w:tc>
      </w:tr>
      <w:tr>
        <w:tc>
          <w:tcPr>
            <w:tcW w:type="dxa" w:w="748"/>
          </w:tcPr>
          <w:p>
            <w:r>
              <w:rPr>
                <w:sz w:val="20"/>
                <w:szCs w:val="20"/>
              </w:rPr>
              <w:t xml:space="preserve">F</w:t>
            </w:r>
          </w:p>
        </w:tc>
        <w:tc>
          <w:tcPr>
            <w:tcW w:type="dxa" w:w="8602"/>
          </w:tcPr>
          <w:p>
            <w:r>
              <w:rPr>
                <w:sz w:val="20"/>
                <w:szCs w:val="20"/>
              </w:rPr>
              <w:t xml:space="preserve">Держави, які призначили спостерігачів, беруть на себе ініціативу у виконанні завдань, визначених Комісією.</w:t>
            </w:r>
          </w:p>
        </w:tc>
      </w:tr>
      <w:tr>
        <w:tc>
          <w:tcPr>
            <w:tcW w:type="dxa" w:w="748"/>
          </w:tcPr>
          <w:p>
            <w:r>
              <w:rPr>
                <w:sz w:val="20"/>
                <w:szCs w:val="20"/>
              </w:rPr>
              <w:t xml:space="preserve">G</w:t>
            </w:r>
          </w:p>
        </w:tc>
        <w:tc>
          <w:tcPr>
            <w:tcW w:type="dxa" w:w="8602"/>
          </w:tcPr>
          <w:p>
            <w:r>
              <w:rPr>
                <w:sz w:val="20"/>
                <w:szCs w:val="20"/>
              </w:rPr>
              <w:t xml:space="preserve">Обсяг функцій і завдань (Додаток I) не визначає кількість спостерігачів, обов'язкових на борту судна.</w:t>
            </w:r>
          </w:p>
        </w:tc>
      </w:tr>
      <w:tr>
        <w:tc>
          <w:tcPr>
            <w:tcW w:type="dxa" w:w="748"/>
          </w:tcPr>
          <w:p>
            <w:r>
              <w:rPr>
                <w:sz w:val="20"/>
                <w:szCs w:val="20"/>
              </w:rPr>
              <w:t xml:space="preserve">H</w:t>
            </w:r>
          </w:p>
        </w:tc>
        <w:tc>
          <w:tcPr>
            <w:tcW w:type="dxa" w:w="8602"/>
          </w:tcPr>
          <w:p>
            <w:r>
              <w:rPr>
                <w:sz w:val="20"/>
                <w:szCs w:val="20"/>
              </w:rPr>
              <w:t xml:space="preserve">План дій у надзвичайних ситуаціях (Додаток II) — обов'язковий для впровадження Державами, що приймають.</w:t>
            </w:r>
          </w:p>
        </w:tc>
      </w:tr>
    </w:tbl>
    <w:p>
      <w:pPr>
        <w:pStyle w:val="Heading1"/>
        <w:spacing w:after="120" w:before="300"/>
      </w:pPr>
      <w:r>
        <w:t xml:space="preserve">Додаток I. Функції та завдання наукових спостерігачів</w:t>
      </w:r>
    </w:p>
    <w:p>
      <w:pPr>
        <w:spacing w:after="140"/>
      </w:pPr>
      <w:r>
        <w:rPr>
          <w:b w:val="false"/>
          <w:bCs w:val="false"/>
          <w:i w:val="false"/>
          <w:iCs w:val="false"/>
          <w:sz w:val="22"/>
          <w:szCs w:val="22"/>
        </w:rPr>
        <w:t xml:space="preserve">Це базовий перелік обов'язків, з якого виводяться всі конкретні процедури, розписані далі в Scientific Observer's Manual та формах спостерігача:</w:t>
      </w:r>
    </w:p>
    <w:p>
      <w:pPr>
        <w:pStyle w:val="ListParagraph"/>
        <w:numPr>
          <w:ilvl w:val="0"/>
          <w:numId w:val="2"/>
        </w:numPr>
        <w:spacing w:after="60"/>
      </w:pPr>
      <w:r>
        <w:t xml:space="preserve">відбір проб улову для визначення біологічних характеристик</w:t>
      </w:r>
    </w:p>
    <w:p>
      <w:pPr>
        <w:pStyle w:val="ListParagraph"/>
        <w:numPr>
          <w:ilvl w:val="0"/>
          <w:numId w:val="2"/>
        </w:numPr>
        <w:spacing w:after="60"/>
      </w:pPr>
      <w:r>
        <w:t xml:space="preserve">реєстрація біологічних даних за видами вилову</w:t>
      </w:r>
    </w:p>
    <w:p>
      <w:pPr>
        <w:pStyle w:val="ListParagraph"/>
        <w:numPr>
          <w:ilvl w:val="0"/>
          <w:numId w:val="2"/>
        </w:numPr>
        <w:spacing w:after="60"/>
      </w:pPr>
      <w:r>
        <w:t xml:space="preserve">реєстрація прилову, його кількості та інших біологічних даних відповідно до заходів зі збереження</w:t>
      </w:r>
    </w:p>
    <w:p>
      <w:pPr>
        <w:pStyle w:val="ListParagraph"/>
        <w:numPr>
          <w:ilvl w:val="0"/>
          <w:numId w:val="2"/>
        </w:numPr>
        <w:spacing w:after="60"/>
      </w:pPr>
      <w:r>
        <w:t xml:space="preserve">реєстрація заплутування та випадкової смертності морських птахів і морських ссавців</w:t>
      </w:r>
    </w:p>
    <w:p>
      <w:pPr>
        <w:pStyle w:val="ListParagraph"/>
        <w:numPr>
          <w:ilvl w:val="0"/>
          <w:numId w:val="2"/>
        </w:numPr>
        <w:spacing w:after="60"/>
      </w:pPr>
      <w:r>
        <w:t xml:space="preserve">звітування про заходи, вжиті для запобігання випадковій смертності</w:t>
      </w:r>
    </w:p>
    <w:p>
      <w:pPr>
        <w:pStyle w:val="ListParagraph"/>
        <w:numPr>
          <w:ilvl w:val="0"/>
          <w:numId w:val="2"/>
        </w:numPr>
        <w:spacing w:after="60"/>
      </w:pPr>
      <w:r>
        <w:t xml:space="preserve">реєстрація методики та параметрів вимірювання заявленої ваги вилову</w:t>
      </w:r>
    </w:p>
    <w:p>
      <w:pPr>
        <w:pStyle w:val="ListParagraph"/>
        <w:numPr>
          <w:ilvl w:val="0"/>
          <w:numId w:val="2"/>
        </w:numPr>
        <w:spacing w:after="60"/>
      </w:pPr>
      <w:r>
        <w:t xml:space="preserve">підготовка звітів про спостереження та подання їх через Державу, що призначає</w:t>
      </w:r>
    </w:p>
    <w:p>
      <w:pPr>
        <w:pStyle w:val="ListParagraph"/>
        <w:numPr>
          <w:ilvl w:val="0"/>
          <w:numId w:val="2"/>
        </w:numPr>
        <w:spacing w:after="60"/>
      </w:pPr>
      <w:r>
        <w:t xml:space="preserve">сприяння веденню обліку і звітності вилову на судні (за взаємною згодою Держав)</w:t>
      </w:r>
    </w:p>
    <w:p>
      <w:pPr>
        <w:pStyle w:val="ListParagraph"/>
        <w:numPr>
          <w:ilvl w:val="0"/>
          <w:numId w:val="2"/>
        </w:numPr>
        <w:spacing w:after="60"/>
      </w:pPr>
      <w:r>
        <w:t xml:space="preserve">виконання інших завдань за взаємною згодою Держав</w:t>
      </w:r>
    </w:p>
    <w:p>
      <w:pPr>
        <w:pStyle w:val="ListParagraph"/>
        <w:numPr>
          <w:ilvl w:val="0"/>
          <w:numId w:val="2"/>
        </w:numPr>
        <w:spacing w:after="60"/>
      </w:pPr>
      <w:r>
        <w:t xml:space="preserve">збір і звітування про спостереження несанкціонованих або невпізнаних суден, немаркованих знарядь лову</w:t>
      </w:r>
    </w:p>
    <w:p>
      <w:pPr>
        <w:pStyle w:val="ListParagraph"/>
        <w:numPr>
          <w:ilvl w:val="0"/>
          <w:numId w:val="2"/>
        </w:numPr>
        <w:spacing w:after="60"/>
      </w:pPr>
      <w:r>
        <w:t xml:space="preserve">збір інформації про втрату знарядь лову та скидання сміття суднами в морі</w:t>
      </w:r>
    </w:p>
    <w:p>
      <w:pPr>
        <w:pStyle w:val="Heading1"/>
        <w:spacing w:after="120" w:before="300"/>
      </w:pPr>
      <w:r>
        <w:t xml:space="preserve">Додаток II. План дій у надзвичайних ситуаціях</w:t>
      </w:r>
    </w:p>
    <w:p>
      <w:pPr>
        <w:spacing w:after="140"/>
      </w:pPr>
      <w:r>
        <w:rPr>
          <w:b w:val="false"/>
          <w:bCs w:val="false"/>
          <w:i w:val="false"/>
          <w:iCs w:val="false"/>
          <w:sz w:val="22"/>
          <w:szCs w:val="22"/>
        </w:rPr>
        <w:t xml:space="preserve">Обов'язковий для впровадження Державами, що приймають спостерігача на борт свого судна:</w:t>
      </w:r>
    </w:p>
    <w:p>
      <w:pPr>
        <w:pStyle w:val="ListParagraph"/>
        <w:numPr>
          <w:ilvl w:val="0"/>
          <w:numId w:val="1"/>
        </w:numPr>
        <w:spacing w:after="60"/>
      </w:pPr>
      <w:r>
        <w:t xml:space="preserve">У разі смерті, зникнення або падіння спостерігача за борт судно негайно припиняє промислові операції, розпочинає пошуково-рятувальну операцію (щонайменше 72 години) та повідомляє MRCC.</w:t>
      </w:r>
    </w:p>
    <w:p>
      <w:pPr>
        <w:pStyle w:val="ListParagraph"/>
        <w:numPr>
          <w:ilvl w:val="0"/>
          <w:numId w:val="1"/>
        </w:numPr>
        <w:spacing w:after="60"/>
      </w:pPr>
      <w:r>
        <w:t xml:space="preserve">Держава, що приймає, невідкладно повідомляє Державу, що призначає, і надає регулярні оновлення.</w:t>
      </w:r>
    </w:p>
    <w:p>
      <w:pPr>
        <w:pStyle w:val="ListParagraph"/>
        <w:numPr>
          <w:ilvl w:val="0"/>
          <w:numId w:val="1"/>
        </w:numPr>
        <w:spacing w:after="60"/>
      </w:pPr>
      <w:r>
        <w:t xml:space="preserve">У разі смерті — тіло зберігається для розтину та розслідування.</w:t>
      </w:r>
    </w:p>
    <w:p>
      <w:pPr>
        <w:pStyle w:val="ListParagraph"/>
        <w:numPr>
          <w:ilvl w:val="0"/>
          <w:numId w:val="1"/>
        </w:numPr>
        <w:spacing w:after="60"/>
      </w:pPr>
      <w:r>
        <w:t xml:space="preserve">У разі серйозної хвороби чи травми — судно припиняє промислові операції, надає можливу медичну допомогу на борту та організовує евакуацію.</w:t>
      </w:r>
    </w:p>
    <w:p>
      <w:pPr>
        <w:pStyle w:val="ListParagraph"/>
        <w:numPr>
          <w:ilvl w:val="0"/>
          <w:numId w:val="1"/>
        </w:numPr>
        <w:spacing w:after="60"/>
      </w:pPr>
      <w:r>
        <w:t xml:space="preserve">У разі нападу, залякування чи переслідування спостерігача — судно вживає заходів для убезпечення спостерігача.</w:t>
      </w:r>
    </w:p>
    <w:p>
      <w:pPr>
        <w:pStyle w:val="ListParagraph"/>
        <w:numPr>
          <w:ilvl w:val="0"/>
          <w:numId w:val="1"/>
        </w:numPr>
        <w:spacing w:after="60"/>
      </w:pPr>
      <w:r>
        <w:t xml:space="preserve">Договірні Сторони сприяють заходу суден із наглядачами CCAMLR SISO у порти для висадження спостерігача.</w:t>
      </w:r>
    </w:p>
    <w:p>
      <w:pPr>
        <w:pStyle w:val="Heading1"/>
        <w:spacing w:after="120" w:before="300"/>
      </w:pPr>
      <w:r>
        <w:t xml:space="preserve">Практичне значення для спостерігача</w:t>
      </w:r>
    </w:p>
    <w:p>
      <w:pPr>
        <w:pStyle w:val="ListParagraph"/>
        <w:numPr>
          <w:ilvl w:val="0"/>
          <w:numId w:val="1"/>
        </w:numPr>
        <w:spacing w:after="60"/>
      </w:pPr>
      <w:r>
        <w:t xml:space="preserve">Розділ D — юридична основа розділу «Операційні проблеми» у Звіті про рейс: саме сюди спостерігач вносить факти тиску, перешкоджання роботі чи спроб хабарництва з боку екіпажу чи власника судна.</w:t>
      </w:r>
    </w:p>
    <w:p>
      <w:pPr>
        <w:pStyle w:val="ListParagraph"/>
        <w:numPr>
          <w:ilvl w:val="0"/>
          <w:numId w:val="1"/>
        </w:numPr>
        <w:spacing w:after="60"/>
      </w:pPr>
      <w:r>
        <w:t xml:space="preserve">Додаток I — по суті, «посадова інструкція» спостерігача одним абзацом; кожен пункт розгорнуто в окремому розділі Scientific Observer's Manual (наступний документ).</w:t>
      </w:r>
    </w:p>
    <w:p>
      <w:pPr>
        <w:pStyle w:val="ListParagraph"/>
        <w:numPr>
          <w:ilvl w:val="0"/>
          <w:numId w:val="1"/>
        </w:numPr>
        <w:spacing w:after="60"/>
      </w:pPr>
      <w:r>
        <w:t xml:space="preserve">Додаток II варто прочитати ще до виходу в рейс і знати напам'ять — у надзвичайній ситуації часу звірятися з документом не буде.</w:t>
      </w:r>
    </w:p>
    <w:p>
      <w:pPr>
        <w:pBdr>
          <w:left w:val="single" w:color="2E86AB" w:sz="18" w:space="8"/>
        </w:pBdr>
        <w:shd w:fill="EAF1F8" w:val="clear"/>
        <w:spacing w:after="200" w:before="100"/>
      </w:pPr>
      <w:r>
        <w:rPr>
          <w:i/>
          <w:iCs/>
          <w:color w:val="444444"/>
          <w:sz w:val="20"/>
          <w:szCs w:val="20"/>
        </w:rPr>
        <w:t xml:space="preserve">Примітка: Цей переказ описує структуру й зміст розділів своїми словами; конкретні юридичні формулювання зобов'язань Держав — тільки в оригіналі документа.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2026-07-14T07:18:18.226Z</dcterms:created>
  <dcterms:modified xsi:type="dcterms:W3CDTF">2026-07-14T07:18:18.226Z</dcterms:modified>
</cp:coreProperties>
</file>

<file path=docProps/custom.xml><?xml version="1.0" encoding="utf-8"?>
<Properties xmlns="http://schemas.openxmlformats.org/officeDocument/2006/custom-properties" xmlns:vt="http://schemas.openxmlformats.org/officeDocument/2006/docPropsVTypes"/>
</file>