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Scientific Observer's Manual — Finfish Fisheries 2026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e-SISO Manual Finfish Fisheries 2026.pdf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1.3 Керівні документи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Що це за документ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Це основне робоче керівництво наукового спостерігача SISO для ярусних і донних риболовних промислів (finfish fisheries) — практичний посібник «як саме» виконувати функції, перелічені одним абзацом у Додатку I Схеми SISO. Історія версій: 2011 (оригінал) → 2019 Draft → 2020 → 2020a (уточнення класифікації травм птахів) → 2023 (додано мічення скатів моря Росса) → 2026 (поточна редакція, використана на цьому сайті).</w:t>
      </w:r>
    </w:p>
    <w:p>
      <w:pPr>
        <w:pStyle w:val="Heading1"/>
        <w:spacing w:after="120" w:before="300"/>
      </w:pPr>
      <w:r>
        <w:t xml:space="preserve">Структура — 17 розділів і 4 додатки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9"/>
        <w:gridCol w:w="8041"/>
      </w:tblGrid>
      <w:tr>
        <w:trPr>
          <w:tblHeader/>
        </w:trPr>
        <w:tc>
          <w:tcPr>
            <w:tcW w:type="dxa" w:w="1309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8041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Розділ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Вступ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Ролі та обов'язки спостерігача SISO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Визначення термінів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Регламенти CCAMLR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Загальні операційні процедури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Одиниці та формати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Стандартні виміри (риба, скати/раї)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Вага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Визначення статі та стадій зрілості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Збір і зберігання отолітів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Тести коефіцієнта переведення — рибний промисел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Визначник цільових видів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Відбір і визначення цільового вилову й прилову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Мічення клича та скатів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Спостереження за морськими ссавцями та птахами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Уразливі морські екосистеми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Список літератури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Дод. 1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Карта району дії Конвенції CAMLR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Дод. 2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Функції та завдання наукових спостерігачів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Дод. 3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Вимоги до відбору проб Dissostichus spp.</w:t>
            </w:r>
          </w:p>
        </w:tc>
      </w:tr>
      <w:tr>
        <w:tc>
          <w:tcPr>
            <w:tcW w:type="dxa" w:w="1309"/>
          </w:tcPr>
          <w:p>
            <w:r>
              <w:rPr>
                <w:sz w:val="20"/>
                <w:szCs w:val="20"/>
              </w:rPr>
              <w:t xml:space="preserve">Дод. 4</w:t>
            </w:r>
          </w:p>
        </w:tc>
        <w:tc>
          <w:tcPr>
            <w:tcW w:type="dxa" w:w="8041"/>
          </w:tcPr>
          <w:p>
            <w:r>
              <w:rPr>
                <w:sz w:val="20"/>
                <w:szCs w:val="20"/>
              </w:rPr>
              <w:t xml:space="preserve">Протокол мічення клича та скатів</w:t>
            </w:r>
          </w:p>
        </w:tc>
      </w:tr>
    </w:tbl>
    <w:p>
      <w:pPr>
        <w:pStyle w:val="Heading1"/>
        <w:spacing w:after="120" w:before="300"/>
      </w:pPr>
      <w:r>
        <w:t xml:space="preserve">Ключові теми за розділами (стислий переказ)</w:t>
      </w:r>
    </w:p>
    <w:p>
      <w:pPr>
        <w:pStyle w:val="Heading2"/>
        <w:spacing w:after="100" w:before="200"/>
      </w:pPr>
      <w:r>
        <w:t xml:space="preserve">Стандартні виміри та вага (розд. 7–8)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Визначає, як правильно вимірювати стандартну й загальну довжину риби (пряма лінія, а не вздовж вигину тіла), точки відліку для скатів (ширина диска), допустиму похибку ваги терезів, вимоги до калібрування обладнання на борту.</w:t>
      </w:r>
    </w:p>
    <w:p>
      <w:pPr>
        <w:pStyle w:val="Heading2"/>
        <w:spacing w:after="100" w:before="200"/>
      </w:pPr>
      <w:r>
        <w:t xml:space="preserve">Стать і стадії зрілості (розд. 9)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Визначає стандартну шкалу стадій зрілості гонад (докладно — в окремому документі-переказі «Атлас стадій зрілості гонад», розділ 6.3 сайту) та порядок макроскопічного визначення статі під час розбирання риби.</w:t>
      </w:r>
    </w:p>
    <w:p>
      <w:pPr>
        <w:pStyle w:val="Heading2"/>
        <w:spacing w:after="100" w:before="200"/>
      </w:pPr>
      <w:r>
        <w:t xml:space="preserve">Отоліти (розд. 10)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Процедура вилучення, маркування, сушіння та зберігання отолітів (кальцинованих структур внутрішнього вуха риби, що використовуються для визначення віку) — включно з вимогами до підписів пакетів і кількості проб на рейс.</w:t>
      </w:r>
    </w:p>
    <w:p>
      <w:pPr>
        <w:pStyle w:val="Heading2"/>
        <w:spacing w:after="100" w:before="200"/>
      </w:pPr>
      <w:r>
        <w:t xml:space="preserve">Коефіцієнти переведення (розд. 11)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Методика тестів для визначення коефіцієнта переведення продукту (наприклад, філе) назад у живу вагу — обов'язкова для точного обліку вилову у формі C2.</w:t>
      </w:r>
    </w:p>
    <w:p>
      <w:pPr>
        <w:pStyle w:val="Heading2"/>
        <w:spacing w:after="100" w:before="200"/>
      </w:pPr>
      <w:r>
        <w:t xml:space="preserve">Відбір цільового вилову й прилову (розд. 13)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Протоколи випадкового та стратифікованого відбору проб з улову для біологічного аналізу, включно з визначенням обсягу вибірки залежно від розміру сітки/яруса.</w:t>
      </w:r>
    </w:p>
    <w:p>
      <w:pPr>
        <w:pStyle w:val="Heading2"/>
        <w:spacing w:after="100" w:before="200"/>
      </w:pPr>
      <w:r>
        <w:t xml:space="preserve">Мічення (розд. 14)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Короткий вступ до програми мічення клича та скатів; повна процедура — в окремому документі «Toothfish and Skate Tagging Manual» (розділ 8 сайту).</w:t>
      </w:r>
    </w:p>
    <w:p>
      <w:pPr>
        <w:pStyle w:val="Heading2"/>
        <w:spacing w:after="100" w:before="200"/>
      </w:pPr>
      <w:r>
        <w:t xml:space="preserve">Морські ссавці та птахи (розд. 15)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Протоколи реєстрації випадкової смертності й травмування під час вибірки знаряддя лову, включно з класифікацією типів травм птахів (легка/важка/смертельна).</w:t>
      </w:r>
    </w:p>
    <w:p>
      <w:pPr>
        <w:pStyle w:val="Heading2"/>
        <w:spacing w:after="100" w:before="200"/>
      </w:pPr>
      <w:r>
        <w:t xml:space="preserve">Уразливі морські екосистеми (розд. 16)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Вступ до концепції ВМЕ-індикаторних таксонів і порогових значень; повний візуальний визначник — окремий документ (розділ 7 сайту).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Цей переказ описує структуру й ключові теми розділів; точні порогові значення, формули розрахунку коефіцієнтів переведення та класифікаційні шкали слід перевіряти виключно за оригіналом PDF.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2026-07-14T07:18:18.266Z</dcterms:created>
  <dcterms:modified xsi:type="dcterms:W3CDTF">2026-07-14T07:18:18.266Z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