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Розклад чинних заходів зі збереження (Schedule of Conservation Measures)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Джерело: </w:t>
      </w:r>
      <w:r>
        <w:rPr>
          <w:sz w:val="20"/>
          <w:szCs w:val="20"/>
        </w:rPr>
        <w:t xml:space="preserve">EN - schedule 2025-26.pdf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Розділ сайту: </w:t>
      </w:r>
      <w:r>
        <w:rPr>
          <w:sz w:val="20"/>
          <w:szCs w:val="20"/>
        </w:rPr>
        <w:t xml:space="preserve">2.1 Заходи зі збереження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Це розгорнутий структурований ПЕРЕКАЗ (own-words summary) змісту документа українською мовою, підготовлений для підготовки до іспиту CCAMLR SISO — НЕ дослівний переклад офіційного тексту. Для точних формулювань, юридично значущих визначень і повних таблиць звертайтесь до оригіналу (розділ «Бібліотека документів», пункт з відповідним джерелом).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Що це за документ і чому він найважливіший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Це щорічно оновлюваний документ, ухвалюваний Комісією CCAMLR на підставі статті IX Конвенції (див. переказ Конвенції, документ 1). З юридичного погляду це найважливіший документ для наукового спостерігача: саме тут — конкретні, чинні для поточного сезону ліміти вилову, райони, сезони промислу та технічні вимоги. Заходи попередніх сезонів автоматично втрачають чинність для нового промислового року, тому працювати можна лише з актуальною редакцією.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Заходи згруповано в серії за номерами: 10 — дотримання правил, 20 — загальні питання промислу (звітність, донний промисел, ВМЕ, прилов птахів/ссавців), 30 — загальні промислові заходи (сезони, заборони), 33 — ліміти прилову, 41 — клич (Dissostichus spp.), 42 — крижана риба, 51 — криль, 90 — охоронювані території.</w:t>
      </w:r>
    </w:p>
    <w:p>
      <w:pPr>
        <w:pStyle w:val="Heading1"/>
        <w:spacing w:after="120" w:before="300"/>
      </w:pPr>
      <w:r>
        <w:t xml:space="preserve">Повний перелік заходів за серіями</w:t>
      </w:r>
    </w:p>
    <w:p>
      <w:pPr>
        <w:pStyle w:val="Heading2"/>
        <w:spacing w:after="100" w:before="200"/>
      </w:pPr>
      <w:r>
        <w:t xml:space="preserve">Дотримання (серія 10)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7"/>
        <w:gridCol w:w="7293"/>
      </w:tblGrid>
      <w:tr>
        <w:trPr>
          <w:tblHeader/>
        </w:trPr>
        <w:tc>
          <w:tcPr>
            <w:tcW w:type="dxa" w:w="2057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№ CM</w:t>
            </w:r>
          </w:p>
        </w:tc>
        <w:tc>
          <w:tcPr>
            <w:tcW w:type="dxa" w:w="7293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Назва / застосування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10-01 (2014)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Маркування риболовних суден і знарядь лову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10-02 (2022)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Ліцензування та інспекційні зобов'язання держав прапора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10-03 (2025)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Портові інспекції суден, що перевозять морські живі ресурси Антарктики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10-04 (2025)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Автоматизовані супутникові системи моніторингу суден (VMS)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10-05 (2022)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Схема документування вилову (CDS) для Dissostichus spp.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10-06 (2016)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Схема сприяння дотриманню правил суднами Договірних Сторін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10-07 (2016)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Схема сприяння дотриманню правил суднами держав, що не є Сторонами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10-08 (2017)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Схема сприяння дотриманню правил громадянами Договірних Сторін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10-09 (2025)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Система повідомлень про перевантаження в районі дії Конвенції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10-10 (2023)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Процедура оцінки дотримання CCAMLR</w:t>
            </w:r>
          </w:p>
        </w:tc>
      </w:tr>
    </w:tbl>
    <w:p>
      <w:pPr>
        <w:pStyle w:val="Heading2"/>
        <w:spacing w:after="100" w:before="200"/>
      </w:pPr>
      <w:r>
        <w:t xml:space="preserve">Загальні питання промислу (серія 20)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7"/>
        <w:gridCol w:w="7293"/>
      </w:tblGrid>
      <w:tr>
        <w:trPr>
          <w:tblHeader/>
        </w:trPr>
        <w:tc>
          <w:tcPr>
            <w:tcW w:type="dxa" w:w="2057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№ CM</w:t>
            </w:r>
          </w:p>
        </w:tc>
        <w:tc>
          <w:tcPr>
            <w:tcW w:type="dxa" w:w="7293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Назва / застосування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21-01 (2019)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Повідомлення про намір розпочати новий промисел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21-02 (2025)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Пошукові (exploratory) промисли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21-03 (2023)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Повідомлення про намір участі у промислі Euphausia superba (криль)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22-01/02/03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Регулювання розміру вічка сітки (нототенієві, C. gunnari)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22-04 (2010)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Тимчасова заборона глибоководного зябрового лову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22-05 (2008)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Обмеження на донне тралення у відкритому морі району Конвенції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22-06 (2019)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Донний промисел у районі дії Конвенції (заходи щодо ВМЕ)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22-07 (2013)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Тимчасовий захід для донного промислу при виявленні потенційних ВМЕ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22-08 (2009)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Заборона промислу Dissostichus spp. на глибині &lt;550 м у пошукових промислах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22-09 (2012)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Захист зареєстрованих ВМЕ у відкритих для донного промислу районах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23-01…23-07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Системи звітності про вилов і зусилля (5-денна, 10-денна, місячна, щоденна)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24-01 (2023)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Застосування заходів зі збереження до наукових досліджень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24-02 (2014)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Обважнення ярусу для збереження морських птахів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24-04 (2017)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Тимчасові особливі райони наукових досліджень у зонах відступу шельфового льоду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24-05 (2025)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Промисел для дослідницьких цілей у поточному сезоні (за CM 24-01)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25-02 (2024)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Мінімізація випадкової смертності морських птахів під час ярусного лову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25-03 (2024)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Мінімізація випадкової смертності птахів і ссавців під час тралового лову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26-01 (2022)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Загальний захист довкілля риболовними суднами</w:t>
            </w:r>
          </w:p>
        </w:tc>
      </w:tr>
    </w:tbl>
    <w:p>
      <w:pPr>
        <w:pStyle w:val="Heading2"/>
        <w:spacing w:after="100" w:before="200"/>
      </w:pPr>
      <w:r>
        <w:t xml:space="preserve">Промислові заходи: загальні (серія 30)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7"/>
        <w:gridCol w:w="7293"/>
      </w:tblGrid>
      <w:tr>
        <w:trPr>
          <w:tblHeader/>
        </w:trPr>
        <w:tc>
          <w:tcPr>
            <w:tcW w:type="dxa" w:w="2057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№ CM</w:t>
            </w:r>
          </w:p>
        </w:tc>
        <w:tc>
          <w:tcPr>
            <w:tcW w:type="dxa" w:w="7293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Назва / застосування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31-01 (1986)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Регулювання промислу навколо Південної Джорджії (48.3)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31-02 (2007)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Загальний захід закриття всіх промислів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32-01 (2001)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Промислові сезони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32-02 (2017)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Заборона спрямованого промислу окремих видів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32-09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Заборона спрямованого промислу Dissostichus spp., крім передбачених заходів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32-18 (2006)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Збереження акул</w:t>
            </w:r>
          </w:p>
        </w:tc>
      </w:tr>
    </w:tbl>
    <w:p>
      <w:pPr>
        <w:pStyle w:val="Heading2"/>
        <w:spacing w:after="100" w:before="200"/>
      </w:pPr>
      <w:r>
        <w:t xml:space="preserve">Ліміти прилову (серія 33)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7"/>
        <w:gridCol w:w="7293"/>
      </w:tblGrid>
      <w:tr>
        <w:trPr>
          <w:tblHeader/>
        </w:trPr>
        <w:tc>
          <w:tcPr>
            <w:tcW w:type="dxa" w:w="2057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№ CM</w:t>
            </w:r>
          </w:p>
        </w:tc>
        <w:tc>
          <w:tcPr>
            <w:tcW w:type="dxa" w:w="7293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Назва / застосування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33-01 (1995)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Ліміт прилову у підрайоні 48.3 (5 видів нототеній та ін.)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33-02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Ліміт прилову у поділі 58.5.2 (C. rhinoceratus, Macrourus spp., скати)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33-03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Ліміт прилову в нових і пошукових промислах</w:t>
            </w:r>
          </w:p>
        </w:tc>
      </w:tr>
    </w:tbl>
    <w:p>
      <w:pPr>
        <w:pStyle w:val="Heading2"/>
        <w:spacing w:after="100" w:before="200"/>
      </w:pPr>
      <w:r>
        <w:t xml:space="preserve">Клич — Dissostichus spp. (серія 41)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7"/>
        <w:gridCol w:w="7293"/>
      </w:tblGrid>
      <w:tr>
        <w:trPr>
          <w:tblHeader/>
        </w:trPr>
        <w:tc>
          <w:tcPr>
            <w:tcW w:type="dxa" w:w="2057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№ CM</w:t>
            </w:r>
          </w:p>
        </w:tc>
        <w:tc>
          <w:tcPr>
            <w:tcW w:type="dxa" w:w="7293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Назва / застосування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41-01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Загальні заходи для пошукових промислів Dissostichus spp.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41-03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Ліміти промислу в підрайоні 48.4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41-04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Ліміти пошукового промислу D. mawsoni в підрайоні 48.6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41-05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Ліміти пошукового промислу D. mawsoni в поділі 58.4.2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41-06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Ліміти пошукового промислу D. eleginoides на банці Елан (58.4.3a)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41-07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Ліміти пошукового промислу D. mawsoni на банці БАНЗАРЕ (58.4.3b)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41-08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Ліміти промислу D. eleginoides у поділі 58.5.2 (багаторічний ліміт)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41-09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Ліміти пошукового промислу D. mawsoni в підрайоні 88.1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41-10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Ліміти пошукового промислу D. mawsoni в підрайоні 88.2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41-11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Ліміти D. mawsoni у поділі 58.4.1 — закрито для спрямованого промислу</w:t>
            </w:r>
          </w:p>
        </w:tc>
      </w:tr>
    </w:tbl>
    <w:p>
      <w:pPr>
        <w:pStyle w:val="Heading2"/>
        <w:spacing w:after="100" w:before="200"/>
      </w:pPr>
      <w:r>
        <w:t xml:space="preserve">Крижана риба (серія 42)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7"/>
        <w:gridCol w:w="7293"/>
      </w:tblGrid>
      <w:tr>
        <w:trPr>
          <w:tblHeader/>
        </w:trPr>
        <w:tc>
          <w:tcPr>
            <w:tcW w:type="dxa" w:w="2057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№ CM</w:t>
            </w:r>
          </w:p>
        </w:tc>
        <w:tc>
          <w:tcPr>
            <w:tcW w:type="dxa" w:w="7293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Назва / застосування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42-01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Ліміти промислу Champsocephalus gunnari у підрайоні 48.3 (два сезони наперед)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42-02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Ліміти промислу C. gunnari у поділі 58.5.2 (два сезони наперед)</w:t>
            </w:r>
          </w:p>
        </w:tc>
      </w:tr>
    </w:tbl>
    <w:p>
      <w:pPr>
        <w:pStyle w:val="Heading2"/>
        <w:spacing w:after="100" w:before="200"/>
      </w:pPr>
      <w:r>
        <w:t xml:space="preserve">Криль (серія 51)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7"/>
        <w:gridCol w:w="7293"/>
      </w:tblGrid>
      <w:tr>
        <w:trPr>
          <w:tblHeader/>
        </w:trPr>
        <w:tc>
          <w:tcPr>
            <w:tcW w:type="dxa" w:w="2057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№ CM</w:t>
            </w:r>
          </w:p>
        </w:tc>
        <w:tc>
          <w:tcPr>
            <w:tcW w:type="dxa" w:w="7293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Назва / застосування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51-01 (2024)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Пересторожні ліміти вилову Euphausia superba у підрайонах 48.1–48.4 (тригер 620 000 т)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51-02 (2024)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Ліміт вилову Euphausia superba у поділі 58.4.1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51-03 (2024)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Ліміт вилову Euphausia superba у поділі 58.4.2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51-04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Загальний захід для пошукових промислів Euphausia superba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51-06 (2019)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Загальний захід наукового спостереження на промислах Euphausia superba</w:t>
            </w:r>
          </w:p>
        </w:tc>
      </w:tr>
    </w:tbl>
    <w:p>
      <w:pPr>
        <w:pStyle w:val="Heading2"/>
        <w:spacing w:after="100" w:before="200"/>
      </w:pPr>
      <w:r>
        <w:t xml:space="preserve">Охоронювані території (серія 90)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7"/>
        <w:gridCol w:w="7293"/>
      </w:tblGrid>
      <w:tr>
        <w:trPr>
          <w:tblHeader/>
        </w:trPr>
        <w:tc>
          <w:tcPr>
            <w:tcW w:type="dxa" w:w="2057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№ CM</w:t>
            </w:r>
          </w:p>
        </w:tc>
        <w:tc>
          <w:tcPr>
            <w:tcW w:type="dxa" w:w="7293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Назва / застосування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91-01 (2004)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Процедура надання захисту ділянкам CEMP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91-02 (2024)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Захист цінностей особливо керованих і охоронюваних районів Антарктики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91-03 (2009)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Захист південного шельфу Південних Оркнейських островів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91-04 (2011)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Загальні рамки створення морських охоронних районів CCAMLR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91-05 (2016)</w:t>
            </w:r>
          </w:p>
        </w:tc>
        <w:tc>
          <w:tcPr>
            <w:tcW w:type="dxa" w:w="7293"/>
          </w:tcPr>
          <w:p>
            <w:r>
              <w:rPr>
                <w:sz w:val="20"/>
                <w:szCs w:val="20"/>
              </w:rPr>
              <w:t xml:space="preserve">Морський охоронний район моря Росса</w:t>
            </w:r>
          </w:p>
        </w:tc>
      </w:tr>
    </w:tbl>
    <w:p>
      <w:pPr>
        <w:pStyle w:val="Heading1"/>
        <w:spacing w:after="120" w:before="300"/>
      </w:pPr>
      <w:r>
        <w:t xml:space="preserve">Чинні резолюції Комісії (вибірково)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Резолюції — рекомендаційні (не обов'язкові для виконання) документи Комісії, що доповнюють заходи зі збереження: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7/IX — дрифтерний промисел у районі дії Конвенції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10/XII — вилов запасів, що зустрічаються як у межах, так і поза межами району дії Конвенції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14/XIX — Схема документування вилову: впровадження державами, що приєдналися, та не-Сторонами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16/XIX, 17/XX — застосування VMS у Схемі документування вилову та поза районом дії Конвенції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22/XXV — міжнародні дії для зниження випадкової смертності морських птахів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23/XXIII — безпека на борту суден, що ведуть промисел у районі дії Конвенції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25/XXV, 32/XXIX — протидія ННН-промислу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30/XXVIII, 36/41 — зміна клімату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34/XXXI — підвищення безпеки риболовних суден у районі дії Конвенції</w:t>
      </w:r>
    </w:p>
    <w:p>
      <w:pPr>
        <w:pStyle w:val="Heading1"/>
        <w:spacing w:after="120" w:before="300"/>
      </w:pPr>
      <w:r>
        <w:t xml:space="preserve">На що звернути особливу увагу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Ліміти вилову за підрайонами (серії 41, 42, 51) змінюються щороку — саме поточні цифри, а не заходи попередніх сезонів, визначають легальність вилову в конкретному рейсі.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CM 22-06/22-07/22-09 — регулюють поведінку судна при виявленні індикаторів ВМЕ; детальний визначник таксонів — окремий документ (VME Taxa Classification Guide, розділ 7 сайту).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CM 25-02/25-03 — вимоги до пристроїв мінімізації прилову птахів (стример-лінії, обважнення яруса) — перевіряються спостерігачем на кожному рейсі.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CM 10-05 (CDS) — електронна схема документування вилову клича; практична реалізація — система e-CDS (посилання в розділі «Корисні посилання» на головній сторінці сайту).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Точні цифри лімітів вилову, дати відкриття/закриття сезонів і повні технічні специфікації наведено в таблицях розділу 2 сайту (2.1) та в оригіналі документа — цей переказ призначений як карта документа, а не заміна його для розрахунків.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2026-07-14T07:19:45.680Z</dcterms:created>
  <dcterms:modified xsi:type="dcterms:W3CDTF">2026-07-14T07:19:45.680Z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