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Форма електронного ярусного журналу en_C2v2026a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en_C2_2026a.xlsx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3.1 Форми головні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Це основна робоча книга Excel, яку спостерігач заповнює безпосередньо в морі протягом усього рейсу — центральний документ обліку промислових операцій, вилову, прилову, мічення та ВМЕ-індикаторів. Структура з 9 аркушів послідовно охоплює весь цикл однієї виборки: від параметрів судна й знаряддя до фінального обліку кожної спійманої особини та кожної встановленої мітки.</w:t>
      </w:r>
    </w:p>
    <w:p>
      <w:pPr>
        <w:pStyle w:val="Heading1"/>
        <w:spacing w:after="120" w:before="300"/>
      </w:pPr>
      <w:r>
        <w:t xml:space="preserve">Структура — 9 аркушів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732"/>
      </w:tblGrid>
      <w:tr>
        <w:trPr>
          <w:tblHeader/>
        </w:trPr>
        <w:tc>
          <w:tcPr>
            <w:tcW w:type="dxa" w:w="261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Аркуш</w:t>
            </w:r>
          </w:p>
        </w:tc>
        <w:tc>
          <w:tcPr>
            <w:tcW w:type="dxa" w:w="673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Ключові поля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Introduction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Опис призначення журналу та переліку аркушів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Vessel and Gear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IMO, назва судна, прапор, позивний, наглядач SISO, тип ярусу, тип головної лінії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Set and Haul Details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Приманка (до 3 типів), координати/час постановки й виборки (UTC), довжина лінії, кількість гачків, пристрій виключення китоподібних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Haul Catch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Код виду, утримано/викинуто/випущено живим, втрачено на поверхні, випадковий вилов — зелена вага та кількість (з мітками/без)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Conversion Factors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Код виду, код переробки, коефіцієнт переведення, тип розрізу, вага продукту/зелена вага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Tagging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До 3 ідентифікаторів міток, тип/колір/напис мітки, координати випуску, довжина/розмах крил, стать, код травми ската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Tag Recapture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Дані про повторний вилов: до 3 міток на рибу, довжина, стадія зрілості, вага гонад, стан місця мітки, збережені зразки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VME Data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Середина сегмента лінії, глибина, загальний об'єм (л), вага (кг), кількість одиниць-індикаторів ВМЕ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CCAMLR codes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Довідкові коди: тип промислу (C/R/S/N), підрайони/поділи, повний перелік кодів видів вилову (553 записи)</w:t>
            </w:r>
          </w:p>
        </w:tc>
      </w:tr>
    </w:tbl>
    <w:p>
      <w:pPr>
        <w:pStyle w:val="Heading1"/>
        <w:spacing w:after="120" w:before="300"/>
      </w:pPr>
      <w:r>
        <w:t xml:space="preserve">Довідник видових кодів (аркуш «CCAMLR codes»)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Аркуш містить повний перелік з 553 стандартизованих трилітерних кодів видів, що використовуються в усіх формах CCAMLR (а також збігаються з кодами ВМЕ-таксонів і кодами FAO). Приклади кодів, що трапляються найчастіше у промислі клича: TOA — Dissostichus mawsoni (антарктичний клич), TOP — D. eleginoides (патагонський клич), TOT — Dissostichus spp. (невизначений до виду), GRV — Macrourus spp. (довгохвости, nei), ANI — Champsocephalus gunnari (макрелева крижана риба), RAJ — Rajidae (скати, nei), MZZ — Actinopterygii (загальний код «морські риби, nei»). Повний перелік практичніше шукати прямим пошуком у самому файлі, ніж запам'ятовувати.</w:t>
      </w:r>
    </w:p>
    <w:p>
      <w:pPr>
        <w:pStyle w:val="Heading1"/>
        <w:spacing w:after="120" w:before="300"/>
      </w:pPr>
      <w:r>
        <w:t xml:space="preserve">Практичні зауваги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Увесь час у всіх аркушах — виключно UTC, а не місцевий судновий час.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Вводити дані можна лише в клітинки з білим фоном; клітинки зі світло-зеленим фоном — довідкові випадаючі списки кодів.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Номер Set/Haul ID має бути наскрізним і збігатися з номером, який використовує судно у своїх комерційних формах — це ключ для звірки даних спостерігача з даними судна.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Аркуш «Tagging» і «Tag Recapture» напряму пов'язані з «Калькулятором статистики перекриття мічення» (окремий документ, розділ 3.4) — дані звідси періодично копіюються туди для контролю.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опис структури й призначення полів; самі значення (конкретні коди, формати клітинок, випадаючі списки) потрібно заповнювати безпосередньо у файлі-оригіналі.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2026-07-14T07:21:21.004Z</dcterms:created>
  <dcterms:modified xsi:type="dcterms:W3CDTF">2026-07-14T07:21:21.005Z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