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Довідник переміщення суден — Annex 10-04/A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Джерело: </w:t>
      </w:r>
      <w:r>
        <w:rPr>
          <w:sz w:val="20"/>
          <w:szCs w:val="20"/>
        </w:rPr>
        <w:t xml:space="preserve">EN - Movement_10-04 Annex A.xlsx</w:t>
      </w:r>
    </w:p>
    <w:p>
      <w:pPr>
        <w:spacing w:after="140"/>
      </w:pPr>
      <w:r>
        <w:rPr>
          <w:b/>
          <w:bCs/>
          <w:sz w:val="20"/>
          <w:szCs w:val="20"/>
        </w:rPr>
        <w:t xml:space="preserve">Розділ сайту: </w:t>
      </w:r>
      <w:r>
        <w:rPr>
          <w:sz w:val="20"/>
          <w:szCs w:val="20"/>
        </w:rPr>
        <w:t xml:space="preserve">3.3 Форми головні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Це розгорнутий структурований ПЕРЕКАЗ (own-words summary) змісту документа українською мовою, підготовлений для підготовки до іспиту CCAMLR SISO — НЕ дослівний переклад офіційного тексту. Для точних формулювань, юридично значущих визначень і повних таблиць звертайтесь до оригіналу (розділ «Бібліотека документів», пункт з відповідним джерелом).</w:t>
      </w:r>
    </w:p>
    <w:p>
      <w:pPr>
        <w:pBdr>
          <w:bottom w:val="single" w:color="CCCCCC" w:sz="6" w:space="4"/>
        </w:pBdr>
        <w:spacing w:after="200"/>
      </w:pPr>
    </w:p>
    <w:p>
      <w:pPr>
        <w:pStyle w:val="Heading1"/>
        <w:spacing w:after="120" w:before="300"/>
      </w:pPr>
      <w:r>
        <w:t xml:space="preserve">Призначення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Документ визначає обов'язковий формат повідомлення при вході й виході судна з підрайону дії Конвенції — вимога Заходу зі збереження 10-04 (система VMS/повідомлень про переміщення суден). Це довідковий файл-таблиця, а не форма для щоденного заповнення спостерігачем; він використовується для звірки координат і часу заходу/виходу з нотифікаціями.</w:t>
      </w:r>
    </w:p>
    <w:p>
      <w:pPr>
        <w:pStyle w:val="Heading1"/>
        <w:spacing w:after="120" w:before="300"/>
      </w:pPr>
      <w:r>
        <w:t xml:space="preserve">Обов'язкові поля повідомлення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Позивний судна (call sign)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Номер IMO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Назва судна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Координати (широта/довгота)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Дата й час у форматі UTC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Підрайон входу або виходу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Вид діяльності (промисел, транзит тощо)</w:t>
      </w:r>
    </w:p>
    <w:p>
      <w:pPr>
        <w:pStyle w:val="Heading1"/>
        <w:spacing w:after="120" w:before="300"/>
      </w:pPr>
      <w:r>
        <w:t xml:space="preserve">Довідкові переліки у файлі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Файл містить перелік із 82 суден-ярусоловів з відповідними номерами IMO, позивними та прапорами держав, а також повний перелік статистичних підрайонів і поділів району дії Конвенції: 41.2, 41.3, 48.1–48.6, 58.4, 58.5, 58.6, 58.7, 88.1–88.3, включно з дрібнішими поділами (41.2.3, 41.3.1-2, 58.4.1-4, 58.5.1-2 тощо) і суміжними статистичними районами ФАО 41, 47, 51, 57, 71, 81, 87 — потрібними для правильного визначення коду району в будь-якій формі, де є поле підрайону.</w:t>
      </w:r>
    </w:p>
    <w:p>
      <w:pPr>
        <w:pBdr>
          <w:left w:val="single" w:color="2E86AB" w:sz="18" w:space="8"/>
        </w:pBdr>
        <w:shd w:fill="EAF1F8" w:val="clear"/>
        <w:spacing w:after="200" w:before="100"/>
      </w:pPr>
      <w:r>
        <w:rPr>
          <w:i/>
          <w:iCs/>
          <w:color w:val="444444"/>
          <w:sz w:val="20"/>
          <w:szCs w:val="20"/>
        </w:rPr>
        <w:t xml:space="preserve">Примітка: Перелік суден і кодів підрайонів оновлюється; для актуальних значень звертайтесь до оригінального файлу.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2026-07-14T07:21:21.120Z</dcterms:created>
  <dcterms:modified xsi:type="dcterms:W3CDTF">2026-07-14T07:21:21.120Z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