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Інструкція з електронного ярусного журналу спостерігача, версія OL_v2026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2026 Observer Longline Logbook Instructions.pdf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4.1–4.2 Форми та інструкції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Загальний вступ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Ці інструкції охоплюють версію 2026 електронного журналу спостерігача ярусного лову CCAMLR SISO — серію з 12 аркушів Excel, які зобов'язаний заповнювати кожен спостерігач SISO. Формат і зміст журналу суттєво змінилися порівняно з попередніми версіями, тому навіть досвідченим спостерігачам варто ознайомитися з інструкцією заново.</w:t>
      </w:r>
    </w:p>
    <w:p>
      <w:pPr>
        <w:pStyle w:val="Heading1"/>
        <w:spacing w:after="120" w:before="300"/>
      </w:pPr>
      <w:r>
        <w:t xml:space="preserve">Загальні зауваги, що стосуються всього журналу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Дані вводяться лише в клітинки з білим фоном; решта заблокована для редагування. Поля з повторюваною інформацією (напр., номер виборки) можна протягувати вниз.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 полів застосовано перевірки формату й типу даних (напр., Haul ID — лише ціле число, дата/час — лише у вказаному форматі); неправильне значення викликає повідомлення про помилку з поясненням.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більшості полів спостерігач обирає варіант з випадаючого списку замість колишніх однолітерних/цифрових кодів — це спрощує заповнення.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Поля вільних коментарів здебільшого прибрано; для нестандартних ситуацій передбачено посилання на звіт про рейс, де можна дати розгорнутий опис із фото.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Довідкові списки кодів видів і переробки розміщені на початку кожного аркуша в клітинках зі світло-зеленим фоном.</w:t>
      </w:r>
    </w:p>
    <w:p>
      <w:pPr>
        <w:pStyle w:val="Heading1"/>
        <w:spacing w:after="120" w:before="300"/>
      </w:pPr>
      <w:r>
        <w:t xml:space="preserve">Огляд 12 аркушів журналу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8"/>
        <w:gridCol w:w="6732"/>
      </w:tblGrid>
      <w:tr>
        <w:trPr>
          <w:tblHeader/>
        </w:trPr>
        <w:tc>
          <w:tcPr>
            <w:tcW w:type="dxa" w:w="261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Аркуш</w:t>
            </w:r>
          </w:p>
        </w:tc>
        <w:tc>
          <w:tcPr>
            <w:tcW w:type="dxa" w:w="673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Vessel and Gear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Дані судна (номер IMO, назва, позивний), характеристики знаряддя лову, деталі стример-ліній (за CM 25-02 Annex A).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Set and Haul Details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Деталі кожної постановки/виборки: наскрізний унікальний номер Set/Haul ID, час у UTC, координати.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Observed Haul Catch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Спостереження вилову й прилову під час випадкового облікового періоду (рекомендовано 25% на спостерігача); поля хижацтва.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Haul IMAF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Прилов морських птахів і ссавців під час виборки; фіксація спостережуваності, виду, долі тварини.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Marine Mammal Observation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Спостереження морських ссавців протягом того ж облікового періоду; ознаки депредації, чисельність (мін./макс.).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Haul VME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Дані з індикаторних таксонів ВМЕ по сегментах лінії; випадкова вибірка ~30% сегментів + усі сегменти з ≥5 одиницями-тригерами.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Biological Sampling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Біологічний відбір проб: довжина, вага, стать, стадія зрілості, отоліти; норма — ~7 риб/1000 гачків.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Conversion Factors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Тест коефіцієнта переведення: не менше 20 риб на район управління, повторювати щотижня.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Tagging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Мічення клича та скатів спостерігачем або навченим членом екіпажу; умовне форматування підсвічує дублікати номерів міток.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Tag Recapture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Дані повторного вилову мічених риб: фотографія мітки на шаблоні-лінійці CCAMLR, біологічні виміри.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Waste Disposal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Втрата/скидання знарядь лову й відходів; частота (нерегулярно/щотижня/щодня).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IUU Sightings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Спостереження невідомих знарядь, сміття або суден, підозрюваних у ННН-промислі.</w:t>
            </w:r>
          </w:p>
        </w:tc>
      </w:tr>
    </w:tbl>
    <w:p>
      <w:pPr>
        <w:pStyle w:val="Heading1"/>
        <w:spacing w:after="120" w:before="300"/>
      </w:pPr>
      <w:r>
        <w:t xml:space="preserve">Детальний переказ інструкції за кожним аркушем</w:t>
      </w:r>
    </w:p>
    <w:p>
      <w:pPr>
        <w:pStyle w:val="Heading2"/>
        <w:spacing w:after="100" w:before="200"/>
      </w:pPr>
      <w:r>
        <w:t xml:space="preserve">1. Vessel and Gear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Дані судна (номер IMO, назва, позивний) заносяться безпосередньо. Характеристики знаряддя лову, надані Секретаріатом чи технічним координатором на основі нотифікації судна, перевіряються на борту й за розбіжності описуються у звіті про рейс. Для іспанської снасті й тротлайну потрібно зважити щонайменше 30 випадково обраних вантажів лінії. Стример-лінії мають відповідати CM 25-02, Додаток A; якщо лінія судна відповідає стандартній конфігурації, заповнюються базові поля, а деталі заміни лінії чи нестандартної конфігурації — лише в розділі 6 аркуша.</w:t>
      </w:r>
    </w:p>
    <w:p>
      <w:pPr>
        <w:pStyle w:val="Heading2"/>
        <w:spacing w:after="100" w:before="200"/>
      </w:pPr>
      <w:r>
        <w:t xml:space="preserve">2. Set and Haul Details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Фіксує деталі кожної постановки й виборки. Поле Set/Haul ID — наскрізний унікальний номер, що збігається з ідентифікатором, який судно використовує у власних комерційних формах. Заповнюється навіть тоді, коли під час операції не було вилову чи прилову. Увесь час — виключно в UTC, а не за судновим часом.</w:t>
      </w:r>
    </w:p>
    <w:p>
      <w:pPr>
        <w:pStyle w:val="Heading2"/>
        <w:spacing w:after="100" w:before="200"/>
      </w:pPr>
      <w:r>
        <w:t xml:space="preserve">3. Observed Haul Catch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Спостереження вилову й прилову на палубі протягом випадкового облікового періоду (рекомендовано 25% виборки на спостерігача). Робоче місце спостерігача під час виборки лінії має бути розташоване з урахуванням потреби збирати біологічний матеріал і фіксувати випадіння риби з лінії. Поля ознак хижацтва (кількість голів з вилученими хижаком частинами тіла, гачки лише з губами риби) використовуються для кількісної оцінки рівня й типів хижацтва.</w:t>
      </w:r>
    </w:p>
    <w:p>
      <w:pPr>
        <w:pStyle w:val="Heading2"/>
        <w:spacing w:after="100" w:before="200"/>
      </w:pPr>
      <w:r>
        <w:t xml:space="preserve">4. Haul IMAF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Прилов морських птахів і ссавців фіксується лише за особистого спостереження підйому тварини на борт протягом облікового періоду (це впливає на розрахунок екстрапольованої смертності) — окремо позначається, якщо тварину чи інформацію передав член екіпажу. Для кожної тварини фіксується момент вилову (постановка чи виборка), вид і доля. Мертвих птахів можна зберігати як заморожені зразки за вимогою організації-роботодавця; усіх птахів перевіряють на наявність кілець.</w:t>
      </w:r>
    </w:p>
    <w:p>
      <w:pPr>
        <w:pStyle w:val="Heading2"/>
        <w:spacing w:after="100" w:before="200"/>
      </w:pPr>
      <w:r>
        <w:t xml:space="preserve">5. Marine Mammal Observation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Спостереження за морськими ссавцями протягом того самого облікового періоду, що й Observed Haul Catch, незалежно від того, чи виявлено тварин. Ключові поля: можливість спостереження (погода/освітлення), ознаки хижацької поведінки (депредації), наявність/відсутність (у т.ч. за звуком), час першого спостереження в UTC, код виду до найнижчого можливого таксономічного рівня, мінімальна й максимальна оцінена чисельність.</w:t>
      </w:r>
    </w:p>
    <w:p>
      <w:pPr>
        <w:pStyle w:val="Heading2"/>
        <w:spacing w:after="100" w:before="200"/>
      </w:pPr>
      <w:r>
        <w:t xml:space="preserve">6. Haul VME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Судно ділить кожен ярус на сегменти по 1000 гачків або 1200 м (яка коротша) і зберігає організми-індикатори ВМЕ з кожного сегмента в 10-літрове відро; рекомендовано кольорове маркування сегментів. Спостерігач відбирає: (i) випадкову вибірку ~30% сегментів (позначає «Random») та (ii) кожен сегмент із 5+ одиницями-індикаторами — тригерний рівень (позначає «Trigger»). Одиниця-індикатор = 1 л для видів, що поміщаються в контейнер, або 1 кг для гіллястих видів. Випадкову й тригерну вибірку не можна плутати між собою.</w:t>
      </w:r>
    </w:p>
    <w:p>
      <w:pPr>
        <w:pStyle w:val="Heading2"/>
        <w:spacing w:after="100" w:before="200"/>
      </w:pPr>
      <w:r>
        <w:t xml:space="preserve">7. Biological Sampling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Орієнтовна норма для клича — 7 риб/1000 гачків (35 риб на лінію з 5000 гачків): 10 риб повний профіль (вид, TL, стать, стадія зрілості гонад, вага, 10 отолітів), 25 риб — лише проміри. З'єднані короткі лінії («join line») враховуються як одна виборка. Для інших видів — до 10 особин/день або до 100/вид за рейс, із фіксацією номера кошика/трота/магазину. Стандартна довжина (SL) — від писка до кінця хребетного стовпа (легко визначити, зігнувши хвіст догори); загальна довжина (TL) — до кінчика хвоста без розтягування. Для Macrourus spp. додатково — довжина писок-анус (SA); для скатів — розмах крил (WS). У підрайонах 88.1/88.2 SSRU A і B додатково фіксуються травми скатів за кодами (таблиця нижче) — для мічених, повторно виловлених і біологічно відібраних особин.</w:t>
      </w:r>
    </w:p>
    <w:p>
      <w:pPr>
        <w:pStyle w:val="Heading2"/>
        <w:spacing w:after="100" w:before="200"/>
      </w:pPr>
      <w:r>
        <w:t xml:space="preserve">8. Conversion Factors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Відбір щонайменше 20 риб при вході в район управління (дослідницький блок/SSRU/підрайон), повторення щотижня. Процедура: (1) зафіксувати TL і зелену вагу до переробки (вода зі шлунка попередньо зливається); (2) зважити перероблену рибу після стандартного розрізу цеху; аркуш автоматично розраховує коефіцієнт переведення; (3) заповнити решту полів, включно з кодом «Grade» (якість продукту).</w:t>
      </w:r>
    </w:p>
    <w:p>
      <w:pPr>
        <w:pStyle w:val="Heading2"/>
        <w:spacing w:after="100" w:before="200"/>
      </w:pPr>
      <w:r>
        <w:t xml:space="preserve">9. Tagging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Мітить і випускає клича спостерігач або навчений член екіпажу за протоколом Додатка 4 SISO Manual. Рибу НЕ можна мітити за наявності: гачкових ушкоджень поза ротовою областю, рожевих/білих зябер, видимої кровотечі, відкритих ран, пошкодження ока чи проникнення в порожнину тіла, саднин/втрати луски на площі хвоста, відсутності рухової активності. Аркуш підсвічує дублікати номерів міток; фіксується точна позиція випуску, а не позиція виборки.</w:t>
      </w:r>
    </w:p>
    <w:p>
      <w:pPr>
        <w:pStyle w:val="Heading2"/>
        <w:spacing w:after="100" w:before="200"/>
      </w:pPr>
      <w:r>
        <w:t xml:space="preserve">10. Tag Recapture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Уся мічена риба зберігається незалежно від часу на волі (COLTO пропонує щорічний приз за знайдені мітки). Обов'язкове фото мітки in situ з таймстампом на офіційному фотошаблоні CCAMLR з читабельним номером. Фото додаються до звіту про рейс або надсилаються окремо через технічного координатора. Заповнюються біологічні проміри з урахуванням специфічних полів для скатів/клича.</w:t>
      </w:r>
    </w:p>
    <w:p>
      <w:pPr>
        <w:pStyle w:val="Heading2"/>
        <w:spacing w:after="100" w:before="200"/>
      </w:pPr>
      <w:r>
        <w:t xml:space="preserve">11. Waste Disposal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Знаряддя лову (непридатне через пошкодження/втрату/обрізання) і загальні відходи (пластик, метал, пакування, нафтопродукти, стоки) фіксуються окремо за категоріями «втрачено ненавмисно» (Lost) і «скинуто навмисно» (Discarded), із частотою: нерегулярно / щотижня / щодня. Колонка «retained» фіксує спосіб зберігання для утилізації на березі (спалено/не спалено).</w:t>
      </w:r>
    </w:p>
    <w:p>
      <w:pPr>
        <w:pStyle w:val="Heading2"/>
        <w:spacing w:after="100" w:before="200"/>
      </w:pPr>
      <w:r>
        <w:t xml:space="preserve">12. IUU Sightings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Звітування про особисто спостережене невідоме знаряддя, сміття чи судна, підозрювані в ННН-промислі. Судно зобов'язане звітувати Секретаріату, але спостереження спостерігача (особливо фото й коментарі щодо вигляду й діяльності судна) є важливим доповненням. Назва судна/позивний/прапор фіксуються з видимого на судні або з радіоконтакту (джерело обов'язково зазначається). Для знайдених зябрових сіток — виміри розміру вічка.</w:t>
      </w:r>
    </w:p>
    <w:p>
      <w:pPr>
        <w:pStyle w:val="Heading1"/>
        <w:spacing w:after="120" w:before="300"/>
      </w:pPr>
      <w:r>
        <w:t xml:space="preserve">Коди травм скатів (використовуються в аркушах Biological Sampling, Tagging, Tag Recapture)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7948"/>
      </w:tblGrid>
      <w:tr>
        <w:trPr>
          <w:tblHeader/>
        </w:trPr>
        <w:tc>
          <w:tcPr>
            <w:tcW w:type="dxa" w:w="140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Код</w:t>
            </w:r>
          </w:p>
        </w:tc>
        <w:tc>
          <w:tcPr>
            <w:tcW w:type="dxa" w:w="794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Видимих ушкоджень немає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J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Розрив хрящів щелепи або значний розрив тканини навколо рота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G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Кровотеча зябер на дорсальній або вентральній поверхні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Пошкодження від вошей навколо перитонеальної порожнини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I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Пролапс кишківника понад 3 см, у т.ч. з кровотечею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P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Проникна травма перитонеальної порожнини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Травма ока або дихальця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Незначні поверхневі травми шкіри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Синці на дорсальній або вентральній стороні диска чи хвоста</w:t>
            </w:r>
          </w:p>
        </w:tc>
      </w:tr>
      <w:tr>
        <w:tc>
          <w:tcPr>
            <w:tcW w:type="dxa" w:w="1403"/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7948"/>
          </w:tcPr>
          <w:p>
            <w:r>
              <w:rPr>
                <w:sz w:val="20"/>
                <w:szCs w:val="20"/>
              </w:rPr>
              <w:t xml:space="preserve">Рубцева тканина навколо рота/щелепи від попередньої травми</w:t>
            </w:r>
          </w:p>
        </w:tc>
      </w:tr>
    </w:tbl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детальний переказ офіційної інструкції; точні формулювання, назви полів англійською та формат випадаючих списків — виключно в оригінальному PDF і в самому файлі журналу en_C2_2026a.xlsx.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2026-07-14T07:23:25.579Z</dcterms:created>
  <dcterms:modified xsi:type="dcterms:W3CDTF">2026-07-14T07:23:25.580Z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