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Commercial Data Collection Manual — Longline Fisheries 2025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EN - C2 Longline Fisheries Commercial data manual 2025_1.pdf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4.3 Форми та інструкції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Призначення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Посібник адресований судну/оператору (не спостерігачу) щодо заповнення комерційної форми C2 — основного джерела офіційних промислових даних, які подає власне судно (на відміну від журналу спостерігача, що є незалежним контрольним джерелом). Спостерігач використовує цей документ переважно для звірки: чи узгоджуються дані судна з тим, що зафіксовано незалежно в журналі спостерігача.</w:t>
      </w:r>
    </w:p>
    <w:p>
      <w:pPr>
        <w:pStyle w:val="Heading1"/>
        <w:spacing w:after="120" w:before="300"/>
      </w:pPr>
      <w:r>
        <w:t xml:space="preserve">Історія версій форми C2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3"/>
        <w:gridCol w:w="1870"/>
        <w:gridCol w:w="3273"/>
        <w:gridCol w:w="2805"/>
      </w:tblGrid>
      <w:tr>
        <w:trPr>
          <w:tblHeader/>
        </w:trPr>
        <w:tc>
          <w:tcPr>
            <w:tcW w:type="dxa" w:w="1403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Версія</w:t>
            </w:r>
          </w:p>
        </w:tc>
        <w:tc>
          <w:tcPr>
            <w:tcW w:type="dxa" w:w="187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Дата випуску</w:t>
            </w:r>
          </w:p>
        </w:tc>
        <w:tc>
          <w:tcPr>
            <w:tcW w:type="dxa" w:w="3273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Форми</w:t>
            </w:r>
          </w:p>
        </w:tc>
        <w:tc>
          <w:tcPr>
            <w:tcW w:type="dxa" w:w="2805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403"/>
          </w:tcPr>
          <w:p>
            <w:r>
              <w:rPr>
                <w:sz w:val="20"/>
                <w:szCs w:val="20"/>
              </w:rPr>
              <w:t xml:space="preserve">2022</w:t>
            </w:r>
          </w:p>
        </w:tc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29/09/2022</w:t>
            </w:r>
          </w:p>
        </w:tc>
        <w:tc>
          <w:tcPr>
            <w:tcW w:type="dxa" w:w="3273"/>
          </w:tcPr>
          <w:p>
            <w:r>
              <w:rPr>
                <w:sz w:val="20"/>
                <w:szCs w:val="20"/>
              </w:rPr>
              <w:t xml:space="preserve">en/fr/sp/ru_C2v2022a → 2023a → 2024a,b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Оригінальна версія форми</w:t>
            </w:r>
          </w:p>
        </w:tc>
      </w:tr>
      <w:tr>
        <w:tc>
          <w:tcPr>
            <w:tcW w:type="dxa" w:w="1403"/>
          </w:tcPr>
          <w:p>
            <w:r>
              <w:rPr>
                <w:sz w:val="20"/>
                <w:szCs w:val="20"/>
              </w:rPr>
              <w:t xml:space="preserve">2025</w:t>
            </w:r>
          </w:p>
        </w:tc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вересень 2024</w:t>
            </w:r>
          </w:p>
        </w:tc>
        <w:tc>
          <w:tcPr>
            <w:tcW w:type="dxa" w:w="3273"/>
          </w:tcPr>
          <w:p>
            <w:r>
              <w:rPr>
                <w:sz w:val="20"/>
                <w:szCs w:val="20"/>
              </w:rPr>
              <w:t xml:space="preserve">en/fr/sp/ru_C2v2025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Доповнення до протоколу мічення та відбору проб скатів</w:t>
            </w:r>
          </w:p>
        </w:tc>
      </w:tr>
      <w:tr>
        <w:tc>
          <w:tcPr>
            <w:tcW w:type="dxa" w:w="1403"/>
          </w:tcPr>
          <w:p>
            <w:r>
              <w:rPr>
                <w:sz w:val="20"/>
                <w:szCs w:val="20"/>
              </w:rPr>
              <w:t xml:space="preserve">2026</w:t>
            </w:r>
          </w:p>
        </w:tc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2025</w:t>
            </w:r>
          </w:p>
        </w:tc>
        <w:tc>
          <w:tcPr>
            <w:tcW w:type="dxa" w:w="3273"/>
          </w:tcPr>
          <w:p>
            <w:r>
              <w:rPr>
                <w:sz w:val="20"/>
                <w:szCs w:val="20"/>
              </w:rPr>
              <w:t xml:space="preserve">en_C2v2026a (наданий файл)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Поточна робоча версія</w:t>
            </w:r>
          </w:p>
        </w:tc>
      </w:tr>
    </w:tbl>
    <w:p>
      <w:pPr>
        <w:pStyle w:val="Heading1"/>
        <w:spacing w:after="120" w:before="300"/>
      </w:pPr>
      <w:r>
        <w:t xml:space="preserve">Ключові визначення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Прилов (By-catch) — весь живий матеріал (окрім цільових видів), виловлений під час промислу, включно з викидами; без урахування взаємодій з птахами/ссавцями (IMAF, які фіксуються окремо).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Коефіцієнт переведення — співвідношення загальної (зеленої) ваги риби до ваги переробленого продукту.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Сегмент лінії — секція ярусу на 1000 гачків або 1200 м (яка коротша); для пасток — 1200 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Ризикова зона (Risk Area) — зона радіусом 1 морська миля від середини сегмента лінії, з якого вилучено 10 і більше одиниць-індикаторів ВМЕ.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Іспанська снасть (Spanish line) — донний ярус з додатковою становою лінією.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Тротлайн (Trotline) — донний ярус, де кластери наживлених гачків прикріплені до плавучої головної лінії через троти.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Документ адресований екіпажу судна, а не спостерігачу, але корисний для перевірки узгодженості даних; точні технічні вимоги — лише в оригіналі.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2026-07-14T07:23:25.678Z</dcterms:created>
  <dcterms:modified xsi:type="dcterms:W3CDTF">2026-07-14T07:23:25.678Z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