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Illustrated generic gear diagrams v1.3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Illustrated generic gear diagrams_2023 v1.3.docx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5.1 Знаряддя лова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Призначення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Документ — офіційний ілюстрований довідник типових конфігурацій знарядь лову, що використовуються в промислах у районі дії Конвенції CCAMLR: тралів, ярусних снастей і пасток, а також пристроїв виключення морських ссавців. Використовується для звірки фактичного знаряддя судна з полями нотифікації на сайті CCAMLR (синій текст на офіційних схемах позначає поле, для якого існує відповідна специфікація на сайті суден).</w:t>
      </w:r>
    </w:p>
    <w:p>
      <w:pPr>
        <w:pStyle w:val="Heading1"/>
        <w:spacing w:after="120" w:before="300"/>
      </w:pPr>
      <w:r>
        <w:t xml:space="preserve">Трали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Trawl: midwater beam — пелагічний беам-трал: жорстка розпірка (beam) утримує вхід сітки відкритим; загальна довжина сітки вказується окремо.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Trawl: midwater otter — пелагічний отер-трал: розпірні дошки (otter boards) розводять вхід сітки в боки за рахунок гідродинамічного опору під час буксирування.</w:t>
      </w:r>
    </w:p>
    <w:p>
      <w:pPr>
        <w:pStyle w:val="Heading1"/>
        <w:spacing w:after="120" w:before="300"/>
      </w:pPr>
      <w:r>
        <w:t xml:space="preserve">Ярусна снасть (Longline)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Autoline — донний ярус з одинарною обваженою головною лінією; гачки на коротких повідцях (снудах), наживлюються механічно під час постановки.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Spanish line (іспанська снасть / подвійна лінія) — донний ярус, де до головної лінії приєднана додаткова станова лінія (backbone), з'єднана поперечними відгалуженнями.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Trotline (тротлайн) — донний ярус, де кластери наживлених гачків прикріплені до плавучої головної лінії (утримується поверхневими буями) через троти (дропер-лінії).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Документ також описує альтернативне маркування ліній для роботи в льодових умовах та розташування радіомаяка/пристрою відстеження позиції (опціонально) і поверхневих поплавців/буїв.</w:t>
      </w:r>
    </w:p>
    <w:p>
      <w:pPr>
        <w:pStyle w:val="Heading1"/>
        <w:spacing w:after="120" w:before="300"/>
      </w:pPr>
      <w:r>
        <w:t xml:space="preserve">Пастки (Pot)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Beehive configuration («вулик») — можлива альтернативна конфігурація з входом у передній панелі (замість верхньої) та підвішеною до даху приманкою-мішком (замість розміщеної на дні пастки).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Rectangular configuration — прямокутний каркас, вхід зверху, приманка розміщується на дні пастки.</w:t>
      </w:r>
    </w:p>
    <w:p>
      <w:pPr>
        <w:pStyle w:val="Heading1"/>
        <w:spacing w:after="120" w:before="300"/>
      </w:pPr>
      <w:r>
        <w:t xml:space="preserve">Пристрої виключення морських ссавців (Exclusion Device)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Mesh panel — сітчаста панель: діагональна сітчаста вставка спрямовує велику тварину (тюленя, китоподібного) до отвору виходу над основною сіткою.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Grid — решітка: жорсткі паралельні прути пропускають рибу до кутка сітки (codend), але відхиляють велику тварину до отвору виходу.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Для кожного типу знаряддя при нотифікації зазвичай обирається один тип пристрою виключення (тюленевий, китовий або інший); Члени CCAMLR повинні вказувати деталі кожного використаного пристрою.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Оригінальні векторні схеми в джерельному файлі технічно не вдалося конвертувати наявними інструментами рендерингу (підтверджена помилка LibreOffice на цих фігурах) — на сайті (розділ 5.1) для кожного типу знаряддя додано власні спрощені схематичні ілюстрації, що передають принцип роботи, але не є технічним кресленням. Для оригінальних креслень відкрийте файл-джерело безпосередньо в Microsoft Word.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2026-07-14T07:24:28.387Z</dcterms:created>
  <dcterms:modified xsi:type="dcterms:W3CDTF">2026-07-14T07:24:28.388Z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