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Easy Identification Keys for Grenadiers in 88.1 and 88.3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Джерело: </w:t>
      </w:r>
      <w:r>
        <w:rPr>
          <w:sz w:val="20"/>
          <w:szCs w:val="20"/>
        </w:rPr>
        <w:t xml:space="preserve">Easy Identification Keys for Grenadiers in 88.1 and 88.3_Sagndeok.pdf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Розділ сайту: </w:t>
      </w:r>
      <w:r>
        <w:rPr>
          <w:sz w:val="20"/>
          <w:szCs w:val="20"/>
        </w:rPr>
        <w:t xml:space="preserve">6.4 Визначники</w:t>
      </w:r>
    </w:p>
    <w:p>
      <w:pPr>
        <w:pBdr>
          <w:left w:val="single" w:color="2E86AB" w:sz="18" w:space="8"/>
        </w:pBdr>
        <w:shd w:fill="EAF1F8" w:val="clear"/>
        <w:spacing w:after="200" w:before="100"/>
      </w:pPr>
      <w:r>
        <w:rPr>
          <w:i/>
          <w:iCs/>
          <w:color w:val="444444"/>
          <w:sz w:val="20"/>
          <w:szCs w:val="20"/>
        </w:rPr>
        <w:t xml:space="preserve">Примітка: Це розгорнутий структурований ПЕРЕКАЗ (own-words summary) змісту документа українською мовою, підготовлений для підготовки до іспиту CCAMLR SISO — НЕ дослівний переклад офіційного тексту. Для точних формулювань, юридично значущих визначень і повних таблиць звертайтесь до оригіналу (розділ «Бібліотека документів», пункт з відповідним джерелом).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1"/>
        <w:spacing w:after="120" w:before="300"/>
      </w:pPr>
      <w:r>
        <w:t xml:space="preserve">Призначення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Спрощений дихотомічний ключ визначення чотирьох видів довгохвостів роду Macrourus, що трапляються в підрайонах 88.1 та 88.3 (море Росса та прилеглі води) — родина Macrouridae, поширений прилов ярусного промислу клича.</w:t>
      </w:r>
    </w:p>
    <w:p>
      <w:pPr>
        <w:pStyle w:val="Heading1"/>
        <w:spacing w:after="120" w:before="300"/>
      </w:pPr>
      <w:r>
        <w:t xml:space="preserve">Ключові ознаки чотирьох видів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5"/>
        <w:gridCol w:w="1122"/>
        <w:gridCol w:w="5423"/>
      </w:tblGrid>
      <w:tr>
        <w:trPr>
          <w:tblHeader/>
        </w:trPr>
        <w:tc>
          <w:tcPr>
            <w:tcW w:type="dxa" w:w="2805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Вид</w:t>
            </w:r>
          </w:p>
        </w:tc>
        <w:tc>
          <w:tcPr>
            <w:tcW w:type="dxa" w:w="1122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Код</w:t>
            </w:r>
          </w:p>
        </w:tc>
        <w:tc>
          <w:tcPr>
            <w:tcW w:type="dxa" w:w="5423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Ключові ознаки</w:t>
            </w:r>
          </w:p>
        </w:tc>
      </w:tr>
      <w:tr>
        <w:tc>
          <w:tcPr>
            <w:tcW w:type="dxa" w:w="2805"/>
          </w:tcPr>
          <w:p>
            <w:r>
              <w:rPr>
                <w:sz w:val="20"/>
                <w:szCs w:val="20"/>
              </w:rPr>
              <w:t xml:space="preserve">Macrourus holotrachys</w:t>
            </w:r>
          </w:p>
        </w:tc>
        <w:tc>
          <w:tcPr>
            <w:tcW w:type="dxa" w:w="1122"/>
          </w:tcPr>
          <w:p>
            <w:r>
              <w:rPr>
                <w:sz w:val="20"/>
                <w:szCs w:val="20"/>
              </w:rPr>
              <w:t xml:space="preserve">MCH</w:t>
            </w:r>
          </w:p>
        </w:tc>
        <w:tc>
          <w:tcPr>
            <w:tcW w:type="dxa" w:w="5423"/>
          </w:tcPr>
          <w:p>
            <w:r>
              <w:rPr>
                <w:sz w:val="20"/>
                <w:szCs w:val="20"/>
              </w:rPr>
              <w:t xml:space="preserve">Промені: 8; луска на задній частині нижньої щелепи відсутня</w:t>
            </w:r>
          </w:p>
        </w:tc>
      </w:tr>
      <w:tr>
        <w:tc>
          <w:tcPr>
            <w:tcW w:type="dxa" w:w="2805"/>
          </w:tcPr>
          <w:p>
            <w:r>
              <w:rPr>
                <w:sz w:val="20"/>
                <w:szCs w:val="20"/>
              </w:rPr>
              <w:t xml:space="preserve">Macrourus carinatus</w:t>
            </w:r>
          </w:p>
        </w:tc>
        <w:tc>
          <w:tcPr>
            <w:tcW w:type="dxa" w:w="1122"/>
          </w:tcPr>
          <w:p>
            <w:r>
              <w:rPr>
                <w:sz w:val="20"/>
                <w:szCs w:val="20"/>
              </w:rPr>
              <w:t xml:space="preserve">MCC</w:t>
            </w:r>
          </w:p>
        </w:tc>
        <w:tc>
          <w:tcPr>
            <w:tcW w:type="dxa" w:w="5423"/>
          </w:tcPr>
          <w:p>
            <w:r>
              <w:rPr>
                <w:sz w:val="20"/>
                <w:szCs w:val="20"/>
              </w:rPr>
              <w:t xml:space="preserve">Промені: 8; луска присутня; SDRAL 19–25; 2–5 рядів зубів</w:t>
            </w:r>
          </w:p>
        </w:tc>
      </w:tr>
      <w:tr>
        <w:tc>
          <w:tcPr>
            <w:tcW w:type="dxa" w:w="2805"/>
          </w:tcPr>
          <w:p>
            <w:r>
              <w:rPr>
                <w:sz w:val="20"/>
                <w:szCs w:val="20"/>
              </w:rPr>
              <w:t xml:space="preserve">Macrourus caml</w:t>
            </w:r>
          </w:p>
        </w:tc>
        <w:tc>
          <w:tcPr>
            <w:tcW w:type="dxa" w:w="1122"/>
          </w:tcPr>
          <w:p>
            <w:r>
              <w:rPr>
                <w:sz w:val="20"/>
                <w:szCs w:val="20"/>
              </w:rPr>
              <w:t xml:space="preserve">QMC</w:t>
            </w:r>
          </w:p>
        </w:tc>
        <w:tc>
          <w:tcPr>
            <w:tcW w:type="dxa" w:w="5423"/>
          </w:tcPr>
          <w:p>
            <w:r>
              <w:rPr>
                <w:sz w:val="20"/>
                <w:szCs w:val="20"/>
              </w:rPr>
              <w:t xml:space="preserve">Промені: 8; луска присутня; SDRAL 30–40; 2–5 рядів зубів</w:t>
            </w:r>
          </w:p>
        </w:tc>
      </w:tr>
      <w:tr>
        <w:tc>
          <w:tcPr>
            <w:tcW w:type="dxa" w:w="2805"/>
          </w:tcPr>
          <w:p>
            <w:r>
              <w:rPr>
                <w:sz w:val="20"/>
                <w:szCs w:val="20"/>
              </w:rPr>
              <w:t xml:space="preserve">Macrourus whitsoni</w:t>
            </w:r>
          </w:p>
        </w:tc>
        <w:tc>
          <w:tcPr>
            <w:tcW w:type="dxa" w:w="1122"/>
          </w:tcPr>
          <w:p>
            <w:r>
              <w:rPr>
                <w:sz w:val="20"/>
                <w:szCs w:val="20"/>
              </w:rPr>
              <w:t xml:space="preserve">WGR</w:t>
            </w:r>
          </w:p>
        </w:tc>
        <w:tc>
          <w:tcPr>
            <w:tcW w:type="dxa" w:w="5423"/>
          </w:tcPr>
          <w:p>
            <w:r>
              <w:rPr>
                <w:sz w:val="20"/>
                <w:szCs w:val="20"/>
              </w:rPr>
              <w:t xml:space="preserve">Промені: 9; один ряд зубів на нижній щелепі</w:t>
            </w:r>
          </w:p>
        </w:tc>
      </w:tr>
    </w:tbl>
    <w:p>
      <w:pPr>
        <w:pStyle w:val="Heading1"/>
        <w:spacing w:after="120" w:before="300"/>
      </w:pPr>
      <w:r>
        <w:t xml:space="preserve">Термінологія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SDRAL (Scales in a Diagonal Row from Anus to Lateral Line) — кількість лусок у діагональному ряду від ануса до бічної лінії; ключовий підрахунковий показник для розрізнення видів M. carinatus і M. caml, які зовні дуже схожі.</w:t>
      </w:r>
    </w:p>
    <w:p>
      <w:pPr>
        <w:pStyle w:val="Heading1"/>
        <w:spacing w:after="120" w:before="300"/>
      </w:pPr>
      <w:r>
        <w:t xml:space="preserve">Порядок визначення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Крок 1 — порахувати кількість променів (8 чи 9): 9 променів однозначно вказує на M. whitsoni.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Крок 2 (для видів з 8 променями) — перевірити наявність луски на задній частині нижньої щелепи: відсутність вказує на M. holotrachys.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Крок 3 (якщо луска присутня) — порахувати SDRAL: 19–25 вказує на M. carinatus, 30–40 — на M. caml.</w:t>
      </w:r>
    </w:p>
    <w:p>
      <w:pPr>
        <w:pBdr>
          <w:left w:val="single" w:color="2E86AB" w:sz="18" w:space="8"/>
        </w:pBdr>
        <w:shd w:fill="EAF1F8" w:val="clear"/>
        <w:spacing w:after="200" w:before="100"/>
      </w:pPr>
      <w:r>
        <w:rPr>
          <w:i/>
          <w:iCs/>
          <w:color w:val="444444"/>
          <w:sz w:val="20"/>
          <w:szCs w:val="20"/>
        </w:rPr>
        <w:t xml:space="preserve">Примітка: Дихотомічний ключ і фотографії зовнішніх ознак — в оригінальному документі; підрахунок SDRAL вимагає практики на реальних зразках.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2026-07-14T07:27:14.769Z</dcterms:created>
  <dcterms:modified xsi:type="dcterms:W3CDTF">2026-07-14T07:27:14.769Z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