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Toothfish and Skate Tagging Manual, версія 2025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EN - Toothfish and Skate Tagging Manual 2025.docx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8.1–8.2 Мічення (Tagging)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Історія й масштаб програми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Програма мічення CCAMLR впроваджена в 2007 р. Станом на 2023 р. у районі дії Конвенції позначено 404 559 клича (повернуто 49 270, тобто 12%) та 71 444 скатів (повернуто 2 444, тобто 3%). Понад 98% повторних виловів вдається пов'язати з початковим міченням.</w:t>
      </w:r>
    </w:p>
    <w:p>
      <w:pPr>
        <w:pStyle w:val="Heading1"/>
        <w:spacing w:after="120" w:before="300"/>
      </w:pPr>
      <w:r>
        <w:t xml:space="preserve">Підготовка до рейсу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Мітки CCAMLR (партіями по 1000 шт., замовляються через Секретаріат), рекомендовано 2 апарати для мічення на партію.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Апаратор і голки в справному стані, запасні частини й засоби для чищення.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Сачки для підйому риби та люльки (cradles).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Робоча станція: вимірювальна дошка, придатний накопичувальний резервуар.</w:t>
      </w:r>
    </w:p>
    <w:p>
      <w:pPr>
        <w:pStyle w:val="Heading1"/>
        <w:spacing w:after="120" w:before="300"/>
      </w:pPr>
      <w:r>
        <w:t xml:space="preserve">Стандартні операційні процедури мічення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Тримати станцію мічення готовою протягом усього періоду виборки.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Готувати підйомне спорядження заздалегідь (без використання багра-гафа).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Приймати рішення про мічення конкретної риби ще до її підйому на борт.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Виміряти стандартну й загальну довжину.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Встановити мітки, перевірити кріплення легким натягом, записати й перевірити номери.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Обережно випустити рибу назад у воду головою вперед.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Записати номер виборки, долю риби та координати випуску (з містка).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Загальний час поза водою — не більше 3 хвилин. Використання накопичувального резервуара — мінімізувати.</w:t>
      </w:r>
    </w:p>
    <w:p>
      <w:pPr>
        <w:pStyle w:val="Heading1"/>
        <w:spacing w:after="120" w:before="300"/>
      </w:pPr>
      <w:r>
        <w:t xml:space="preserve">Критерії непридатності до мічення — клич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8602"/>
      </w:tblGrid>
      <w:tr>
        <w:trPr>
          <w:tblHeader/>
        </w:trPr>
        <w:tc>
          <w:tcPr>
            <w:tcW w:type="dxa" w:w="74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860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Критерій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Гачкове ушкодження присутнє будь-де, крім ротової області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Зябра рожеві або білі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Видима кровотеча зябер або надмірна кровотеча будь-де на тілі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Видиме пошкодження тіла з відкритими ранами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Видиме пошкодження ока або проникнення в порожнину тіла (зокрема ракоподібними — бокоплавами/вошами)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Стирання або втрата луски на площі, що дорівнює або перевищує площу хвоста риби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Не виявлено рухової активності риби</w:t>
            </w:r>
          </w:p>
        </w:tc>
      </w:tr>
    </w:tbl>
    <w:p>
      <w:pPr>
        <w:pStyle w:val="Heading1"/>
        <w:spacing w:after="120" w:before="300"/>
      </w:pPr>
      <w:r>
        <w:t xml:space="preserve">Критерії непридатності до мічення — скати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8602"/>
      </w:tblGrid>
      <w:tr>
        <w:trPr>
          <w:tblHeader/>
        </w:trPr>
        <w:tc>
          <w:tcPr>
            <w:tcW w:type="dxa" w:w="74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860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Критерій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Зламана щелепа або значний розрив тканини навколо рота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Білі або кровоточиві зябра на дорсальній чи вентральній поверхні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Пошкодження від вошей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Видимий пролапс значної частини кишківника або кровотеча</w:t>
            </w:r>
          </w:p>
        </w:tc>
      </w:tr>
      <w:tr>
        <w:tc>
          <w:tcPr>
            <w:tcW w:type="dxa" w:w="748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8602"/>
          </w:tcPr>
          <w:p>
            <w:r>
              <w:rPr>
                <w:sz w:val="20"/>
                <w:szCs w:val="20"/>
              </w:rPr>
              <w:t xml:space="preserve">Травма ока або дихальця (spiracle)</w:t>
            </w:r>
          </w:p>
        </w:tc>
      </w:tr>
    </w:tbl>
    <w:p>
      <w:pPr>
        <w:pStyle w:val="Heading1"/>
        <w:spacing w:after="120" w:before="300"/>
      </w:pPr>
      <w:r>
        <w:t xml:space="preserve">Техніка встановлення мітки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Клич: мітку вводять під кутом у другий спинний плавець так, щоб Т-подібний стрижень зафіксувався за променями плавця, вістрям назад; після встановлення — легкий натяг для перевірки кріплення.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Скати: одна мітка в м'яз кожного крила з боку очей, вводиться прямовисно між променями плавця.</w:t>
      </w:r>
    </w:p>
    <w:p>
      <w:pPr>
        <w:pStyle w:val="Heading1"/>
        <w:spacing w:after="120" w:before="300"/>
      </w:pPr>
      <w:r>
        <w:t xml:space="preserve">Накопичувальні резервуари (специфікація)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Розмір: щонайменше вдвічі більший за середню довжину риби (від 2 м).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Гладкі стінки, бажано округла форма, високий потік чистої морської води.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Об'єм риби не повинен перевищувати 10% об'єму води в резервуарі; клич і скатів тримати окремо.</w:t>
      </w:r>
    </w:p>
    <w:p>
      <w:pPr>
        <w:pStyle w:val="Heading1"/>
        <w:spacing w:after="120" w:before="300"/>
      </w:pPr>
      <w:r>
        <w:t xml:space="preserve">Повторний вилов (recapture)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Будь-яку мічену рибу передають спостерігачу для відбору проб (тип III — довжина, стать, стадія зрілості, вага, отоліти).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Обов'язкове фото мітки in situ на фоні фірмового шаблону-лінійки CCAMLR з читабельним номером.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Фізичні мітки повертати Секретаріату більше не потрібно — досить якісного фото; фізичні мітки знищуються на борту.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Щорічний приз від COLTO (Coalition of Legal Toothfish Operators) за знайдені мітки.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Повна процедура з ілюстраціями (17 рисунків) — в оригінальному документі та розділі 8.2 сайту (клікабельні картки з підписами за офіційним номером «Figure N»).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2026-07-14T07:29:16.325Z</dcterms:created>
  <dcterms:modified xsi:type="dcterms:W3CDTF">2026-07-14T07:29:16.326Z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