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Enabling Business-User Discovery &amp; Self-Service Consumption</w:t>
      </w:r>
    </w:p>
    <w:p>
      <w:pPr>
        <w:spacing w:after="100" w:before="200"/>
        <w:jc w:val="center"/>
      </w:pPr>
      <w:r>
        <w:rPr>
          <w:b/>
          <w:bCs/>
          <w:color w:val="1F3864"/>
          <w:sz w:val="44"/>
          <w:szCs w:val="44"/>
        </w:rPr>
        <w:t xml:space="preserve">of Data Assets in the AWS Data Lake</w:t>
      </w:r>
    </w:p>
    <w:p>
      <w:pPr>
        <w:spacing w:before="300"/>
        <w:jc w:val="center"/>
      </w:pPr>
      <w:r>
        <w:rPr>
          <w:i/>
          <w:iCs/>
          <w:color w:val="0E7C7B"/>
          <w:sz w:val="26"/>
          <w:szCs w:val="26"/>
        </w:rPr>
        <w:t xml:space="preserve">Architecture, Solution Options, Implementation Challenges, and Recommendations</w:t>
      </w:r>
    </w:p>
    <w:p>
      <w:pPr>
        <w:spacing w:before="1200"/>
        <w:jc w:val="center"/>
      </w:pPr>
      <w:r>
        <w:rPr>
          <w:b/>
          <w:bCs/>
          <w:color w:val="595959"/>
          <w:sz w:val="24"/>
          <w:szCs w:val="24"/>
        </w:rPr>
        <w:t xml:space="preserve">Analysis &amp; Recommendation Document</w:t>
      </w:r>
    </w:p>
    <w:p>
      <w:pPr>
        <w:spacing w:before="120"/>
        <w:jc w:val="center"/>
      </w:pPr>
      <w:r>
        <w:rPr>
          <w:color w:val="595959"/>
          <w:sz w:val="21"/>
          <w:szCs w:val="21"/>
        </w:rPr>
        <w:t xml:space="preserve">Prepared: July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Business users today need a governed, self-service way to discover, understand, and consume curated data assets that live in the AWS data lake — without depending on data engineering teams for every request, and without compromising security or compliance controls. AWS provides a purpose-built pathway for this through Amazon DataZone, layered on top of AWS Glue Data Catalog and AWS Lake Formation for technical metadata and fine-grained access control, and integrated with AWS IAM Identity Center for identity federation.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consolidates the architecture, workflows, identity model, infrastructure-as-code approach, and implementation challenges for standing up this capability, and closes with a prioritized set of recommendations. It reflects a solution architecture reviewed end-to-end: from raw data sources, through cataloging and governance, into a business-friendly catalog with subscription-based access requests, through to actual query consumption — plus how all of it can be provisioned via Terraform in environments where console access is restricted.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4"/>
          <w:szCs w:val="24"/>
        </w:rPr>
        <w:t xml:space="preserve">Key Recommendation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Adopt Amazon DataZone as the primary business-facing data catalog and subscription layer, backed by AWS Lake Formation for enforcement and AWS IAM Identity Center for federated identity, and provision all four layers via Terraform using a phased rollout that proves the pattern in a console-accessible environment before promoting to environments where Terraform is the only provisioning path.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Business Context &amp; Objective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Organizations that centralize data in an AWS data lake (Amazon S3, cataloged via AWS Glue) frequently face a discovery and access gap: technical metadata exists, but business users have no easy way to search for data in business terms, understand data quality or ownership, or request access without opening a ticket to a data engineering team. The objective is to close that gap with: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 searchable, business-friendly catalog of available data assets.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 self-service request-and-approval workflow that doesn't bypass governance.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Automatic, auditable provisioning of the underlying access grants once approved.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 consumption layer (query engines and BI tools) that business users can use immediately after approval.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An infrastructure-as-code approach consistent with the organization's environment-promotion model (console access in DEV only; Terraform-only in higher environments).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Solution Options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AWS offers a layered set of services that, combined, address the discovery-to-consumption lifecycle. Each layer has a distinct role; none of them substitutes for the others.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4"/>
          <w:szCs w:val="24"/>
        </w:rPr>
        <w:t xml:space="preserve">3.1 AWS Glue Data Catalog — Technical Metadata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foundational, technical metadata store: schemas, table definitions, and partitions for data in Amazon S3. It is read by Athena, Redshift Spectrum, EMR, and DataZone alike. It has no business-user-facing interface on its own — it is the substrate, not the discovery layer.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4"/>
          <w:szCs w:val="24"/>
        </w:rPr>
        <w:t xml:space="preserve">3.2 AWS Lake Formation — Governance &amp; Enforcement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Provides centralized, fine-grained access control (table, column, and row level) over data cataloged in Glue. It is the enforcement point: every grant that a business user ultimately receives, whether initiated manually or automatically through DataZone, is a Lake Formation permission (or, for hybrid-mode assets, an IAM-based opt-in principal registration).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4"/>
          <w:szCs w:val="24"/>
        </w:rPr>
        <w:t xml:space="preserve">3.3 Amazon DataZone — Business Catalog &amp; Self-Service Layer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is AWS's purpose-built answer to the discovery-and-consumption problem. Its core capabilities: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Business Data Catalog — federated metadata from Glue, Redshift, and other sources, enriched with business names, glossaries, and descriptions so users can search in business language.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AI-assisted cataloging — generative-AI features that auto-generate business descriptions, highlight impactful columns, and suggest analytical use cases.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Data Products — curated bundles of assets that consumers subscribe to as a single unit rather than requesting each table individually.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Data quality visibility — surfaces AWS Glue Data Quality (or third-party) metrics directly in search results.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Subscription &amp; approval workflow — the self-service request mechanism, detailed in Section 4.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Data Portal — the browser-based application business users actually interact with, authenticated via IAM Identity Center or federated IAM.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4"/>
          <w:szCs w:val="24"/>
        </w:rPr>
        <w:t xml:space="preserve">3.4 Consumption Tools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Once a subscription is approved and the underlying grant is created, business users consume data through: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Amazon Athena — serverless SQL query engine, the default for ad hoc analysis on approved S3/Glue assets.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Amazon Redshift Query Editor — for warehouse-native assets and heavier analytical workloads.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Amazon QuickSight — dashboards and visual exploration for users who prefer not to write SQL.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4"/>
          <w:szCs w:val="24"/>
        </w:rPr>
        <w:t xml:space="preserve">3.5 AWS IAM Identity Center — Identity &amp; Federation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Business users authenticate to the DataZone data portal via IAM Identity Center rather than as native IAM users. Identity Center can use its built-in directory or federate an external IdP (Okta, Entra ID, etc.) via SAML/SCIM. IAM-based access is technically possible but is scoped to the domain's own AWS account and is best reserved for service accounts or administrative access, not a general business-user population.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End-to-End Architecture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layers above compose into a single end-to-end flow, from raw data source to a business user running a query: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Data is registered in Amazon S3 and cataloged via AWS Glue crawlers into the Glue Data Catalog.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AWS Lake Formation is layered on top for centralized, fine-grained permission management.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Data owners publish curated assets — individually or packaged as Data Products — into the Amazon DataZone business catalog, adding business context and glossary terms.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Business users authenticate into the DataZone Data Portal (via IAM Identity Center) and search the catalog using business terminology, reviewing data quality signals as they go.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 user requests access by subscribing to an asset or data product; the asset owner is notified.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The owner approves or rejects the request through the DataZone subscription workflow.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On approval, DataZone automatically creates the necessary Lake Formation grants (for Glue/S3 assets) or Redshift grants (for warehouse assets), and provisions the asset into the subscribing project's environment.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The user queries the data via Amazon Athena or Amazon Redshift, or visualizes it in Amazon QuickSight.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flow was mapped as a layered architecture diagram earlier in this engagement, showing sources feeding the Glue/Lake Formation governance layer, which feeds the DataZone business catalog, which business users interact with directly, terminating in the consumption tools.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4"/>
          <w:szCs w:val="24"/>
        </w:rPr>
        <w:t xml:space="preserve">4.1 A Practical Caveat: Managed vs. Unmanaged Assets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For lake data to be queryable immediately after subscription approval, the underlying asset must be Lake Formation-managed (a managed Glue table, or a Redshift table/view). If a data source is registered in Glue via a crawler but never brought under Lake Formation management — an 'unmanaged' asset — DataZone's automatic fulfillment cannot create a grant. The asset remains discoverable and requestable, but query access does not follow automatically; this is addressed further in Section 6.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Subscription &amp; Approval Workflow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request-and-approval mechanism is the governance control point in this architecture, and it follows a consistent path regardless of asset type: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00"/>
        <w:gridCol w:w="145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14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 of Record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Subscribe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Business user requests access to an asset from the Data Portal.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DataZone</w:t>
            </w:r>
          </w:p>
        </w:tc>
      </w:tr>
      <w:tr>
        <w:tc>
          <w:tcPr>
            <w:tcW w:type="dxa" w:w="16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Request created</w:t>
            </w:r>
          </w:p>
        </w:tc>
        <w:tc>
          <w:tcPr>
            <w:tcW w:type="dxa" w:w="63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subscription request is created and tracked.</w:t>
            </w:r>
          </w:p>
        </w:tc>
        <w:tc>
          <w:tcPr>
            <w:tcW w:type="dxa" w:w="14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DataZone / EventBridge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Owner notified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asset owner receives a notification to review.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DataZone</w:t>
            </w:r>
          </w:p>
        </w:tc>
      </w:tr>
      <w:tr>
        <w:tc>
          <w:tcPr>
            <w:tcW w:type="dxa" w:w="16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 Owner decision</w:t>
            </w:r>
          </w:p>
        </w:tc>
        <w:tc>
          <w:tcPr>
            <w:tcW w:type="dxa" w:w="63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Owner approves or rejects the request.</w:t>
            </w:r>
          </w:p>
        </w:tc>
        <w:tc>
          <w:tcPr>
            <w:tcW w:type="dxa" w:w="14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DataZone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5a. If approved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DataZone assumes an IAM role and creates a Lake Formation grant (managed assets) or Redshift grant.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Lake Formation / Redshift</w:t>
            </w:r>
          </w:p>
        </w:tc>
      </w:tr>
      <w:tr>
        <w:tc>
          <w:tcPr>
            <w:tcW w:type="dxa" w:w="16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5b. If rejected</w:t>
            </w:r>
          </w:p>
        </w:tc>
        <w:tc>
          <w:tcPr>
            <w:tcW w:type="dxa" w:w="63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Requester is notified; no grant is created.</w:t>
            </w:r>
          </w:p>
        </w:tc>
        <w:tc>
          <w:tcPr>
            <w:tcW w:type="dxa" w:w="14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DataZone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 Environment update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asset is added to the subscribing project's environment (e.g. the Athena `_sub_db`).</w:t>
            </w:r>
          </w:p>
        </w:tc>
        <w:tc>
          <w:tcPr>
            <w:tcW w:type="dxa" w:w="1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DataZone</w:t>
            </w:r>
          </w:p>
        </w:tc>
      </w:tr>
      <w:tr>
        <w:tc>
          <w:tcPr>
            <w:tcW w:type="dxa" w:w="16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7. Consumption</w:t>
            </w:r>
          </w:p>
        </w:tc>
        <w:tc>
          <w:tcPr>
            <w:tcW w:type="dxa" w:w="63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queries the asset via Athena, Redshift, or QuickSight.</w:t>
            </w:r>
          </w:p>
        </w:tc>
        <w:tc>
          <w:tcPr>
            <w:tcW w:type="dxa" w:w="14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Athena / Redshift / QuickSight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For unmanaged assets, DataZone instead publishes a 'Subscription Request Created/Approved' event to Amazon EventBridge with the full request payload; a custom Lambda or Step Functions handler must be built to complete the grant outside of DataZone's automation.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How DataZone Constructs Map to Lake Formation Permissions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DataZone does not replace Lake Formation — it orchestrates it. Understanding this mapping is essential for troubleshooting access issues and for designing the Terraform provisioning model.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DataZone Construct</w:t>
            </w:r>
          </w:p>
        </w:tc>
        <w:tc>
          <w:tcPr>
            <w:tcW w:type="dxa" w:w="6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Lake Formation / IAM Effect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Project environment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DataZone creates and owns IAM roles for producers and subscribers within that environment.</w:t>
            </w:r>
          </w:p>
        </w:tc>
      </w:tr>
      <w:tr>
        <w:tc>
          <w:tcPr>
            <w:tcW w:type="dxa" w:w="32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Subscription approved</w:t>
            </w:r>
          </w:p>
        </w:tc>
        <w:tc>
          <w:tcPr>
            <w:tcW w:type="dxa" w:w="61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DataZone assumes its own IAM role to initiate the grant — the business user's identity is never used directly.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Managed asset (Glue/Redshift)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DataZone automatically creates a Lake Formation grant (or Redshift grant).</w:t>
            </w:r>
          </w:p>
        </w:tc>
      </w:tr>
      <w:tr>
        <w:tc>
          <w:tcPr>
            <w:tcW w:type="dxa" w:w="32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Unmanaged asset</w:t>
            </w:r>
          </w:p>
        </w:tc>
        <w:tc>
          <w:tcPr>
            <w:tcW w:type="dxa" w:w="61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DataZone publishes an EventBridge event; grant creation is manual/custom.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Grant scope</w:t>
            </w:r>
          </w:p>
        </w:tc>
        <w:tc>
          <w:tcPr>
            <w:tcW w:type="dxa" w:w="6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Subscriber grants are read-only; the producer project retains broader/write permissions.</w:t>
            </w:r>
          </w:p>
        </w:tc>
      </w:tr>
      <w:tr>
        <w:tc>
          <w:tcPr>
            <w:tcW w:type="dxa" w:w="32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Lake Formation hybrid mode</w:t>
            </w:r>
          </w:p>
        </w:tc>
        <w:tc>
          <w:tcPr>
            <w:tcW w:type="dxa" w:w="61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Allows DataZone to register an IAM-managed table's S3 location and add the subscriber's role as an opt-in principal at subscribe-time, without pre-registration in Lake Formation.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One notable limitation: LF-TBAC (tag-based access control) is not supported for DataZone-managed Glue assets — only the standard named-resource permission model applies.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Business User Identity &amp; Access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Business users should not be provisioned as individual native IAM users or roles. The recommended and AWS-designed path is federated SSO through AWS IAM Identity Center: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An external identity provider (Okta, Microsoft Entra ID, etc.) federates into IAM Identity Center via SAML, with users and groups kept in sync via SCIM.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IAM Identity Center is enabled for the DataZone domain using either implicit assignment (all directory users get access) or explicit assignment (specific users/groups are added) — this choice is permanent once made at the domain level and should default to explicit assignment for governed environments.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DataZone maps the authenticated identity to a user profile, associated with domain units.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Project membership (owner, contributor, or viewer) — assigned within DataZone, not IAM — determines what the user can actually do.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At query time, the Data Portal requests short-lived, scoped IAM session credentials on the user's behalf; the business user never interacts with IAM directly.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Direct IAM-user federation into the Data Portal is technically supported (via the datazone:GetIamPortalLoginUrl action) but is scoped only to principals within the domain's own AWS account, making it impractical for a distributed business-user population — it is best reserved for service accounts or administrative/API access.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Infrastructure-as-Code: Provisioning via Terraform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Given the environment model in place — console access limited to DEV, Terraform-only provisioning for all higher environments — every layer of this architecture needs a Terraform-manageable path. This is supported today, with one notable gap.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50"/>
        <w:gridCol w:w="900"/>
        <w:gridCol w:w="18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Architecture Layer</w:t>
            </w:r>
          </w:p>
        </w:tc>
        <w:tc>
          <w:tcPr>
            <w:tcW w:type="dxa" w:w="4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Terraform Resource(s)</w:t>
            </w:r>
          </w:p>
        </w:tc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Glue Data Catalog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aws_glue_catalog_database, aws_glue_catalog_table, aws_glue_crawler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Mature, long-standing support.</w:t>
            </w:r>
          </w:p>
        </w:tc>
      </w:tr>
      <w:tr>
        <w:tc>
          <w:tcPr>
            <w:tcW w:type="dxa" w:w="25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Lake Formation setup</w:t>
            </w:r>
          </w:p>
        </w:tc>
        <w:tc>
          <w:tcPr>
            <w:tcW w:type="dxa" w:w="41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aws_lakeformation_resource, aws_lakeformation_data_lake_settings</w:t>
            </w:r>
          </w:p>
        </w:tc>
        <w:tc>
          <w:tcPr>
            <w:tcW w:type="dxa" w:w="9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</w:t>
            </w:r>
          </w:p>
        </w:tc>
        <w:tc>
          <w:tcPr>
            <w:tcW w:type="dxa" w:w="18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Requires careful admin/grantee principal separation.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Lake Formation grants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aws_lakeformation_permissions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Pipeline execution role needs explicit grant/revoke IAM permissions.</w:t>
            </w:r>
          </w:p>
        </w:tc>
      </w:tr>
      <w:tr>
        <w:tc>
          <w:tcPr>
            <w:tcW w:type="dxa" w:w="25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DataZone domain &amp; project</w:t>
            </w:r>
          </w:p>
        </w:tc>
        <w:tc>
          <w:tcPr>
            <w:tcW w:type="dxa" w:w="41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aws_datazone_domain, aws_datazone_project</w:t>
            </w:r>
          </w:p>
        </w:tc>
        <w:tc>
          <w:tcPr>
            <w:tcW w:type="dxa" w:w="9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</w:t>
            </w:r>
          </w:p>
        </w:tc>
        <w:tc>
          <w:tcPr>
            <w:tcW w:type="dxa" w:w="18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Resource-identity support added recently.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DataZone environment &amp; profile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aws_datazone_environment, aws_datazone_environment_profile, aws_datazone_environment_blueprint_configuration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DataZone glossary &amp; metadata</w:t>
            </w:r>
          </w:p>
        </w:tc>
        <w:tc>
          <w:tcPr>
            <w:tcW w:type="dxa" w:w="41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aws_datazone_glossary, aws_datazone_glossary_term, aws_datazone_form_type, aws_datazone_asset_type, aws_datazone_user_profile</w:t>
            </w:r>
          </w:p>
        </w:tc>
        <w:tc>
          <w:tcPr>
            <w:tcW w:type="dxa" w:w="9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</w:t>
            </w:r>
          </w:p>
        </w:tc>
        <w:tc>
          <w:tcPr>
            <w:tcW w:type="dxa" w:w="18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DataZone subscription target / data source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awscc_datazone_* (Cloud Control API)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awscc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Gap in the standard aws provider; use awscc as the fallback.</w:t>
            </w:r>
          </w:p>
        </w:tc>
      </w:tr>
      <w:tr>
        <w:tc>
          <w:tcPr>
            <w:tcW w:type="dxa" w:w="25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Identity Center permission sets &amp; assignment</w:t>
            </w:r>
          </w:p>
        </w:tc>
        <w:tc>
          <w:tcPr>
            <w:tcW w:type="dxa" w:w="41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aws_ssoadmin_permission_set, aws_ssoadmin_account_assignment</w:t>
            </w:r>
          </w:p>
        </w:tc>
        <w:tc>
          <w:tcPr>
            <w:tcW w:type="dxa" w:w="9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</w:t>
            </w:r>
          </w:p>
        </w:tc>
        <w:tc>
          <w:tcPr>
            <w:tcW w:type="dxa" w:w="18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Identity Center directory objects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aws_identitystore_user, aws_identitystore_group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Only relevant if not using external-IdP SCIM sync.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E7C7B"/>
          <w:sz w:val="24"/>
          <w:szCs w:val="24"/>
        </w:rPr>
        <w:t xml:space="preserve">8.1 Provider Choice Guidance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Where a resource exists in both the aws and awscc providers, prefer aws for consistency and community support; fall back to awscc (generated from CloudFormation's Cloud Control API) only for resources not yet covered — currently, DataZone subscription targets and data sources fall into this category.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Implementation Challenges &amp; Mitigations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50"/>
        <w:gridCol w:w="2450"/>
        <w:gridCol w:w="395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Challenge</w:t>
            </w:r>
          </w:p>
        </w:tc>
        <w:tc>
          <w:tcPr>
            <w:tcW w:type="dxa" w:w="24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9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Mitigation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Unmanaged assets cannot receive automatic grants on subscription approval.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Business users see 'approved' but cannot query the data; support tickets and confusion follow.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Enforce Lake Formation management (or hybrid mode registration) as a publishing prerequisite; build and test the EventBridge + Lambda fallback for any assets that must remain unmanaged.</w:t>
            </w:r>
          </w:p>
        </w:tc>
      </w:tr>
      <w:tr>
        <w:tc>
          <w:tcPr>
            <w:tcW w:type="dxa" w:w="5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Terraform's aws provider lacks a subscription-target resource.</w:t>
            </w:r>
          </w:p>
        </w:tc>
        <w:tc>
          <w:tcPr>
            <w:tcW w:type="dxa" w:w="24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Inconsistent provisioning approach across DataZone objects; harder-to-maintain modules.</w:t>
            </w:r>
          </w:p>
        </w:tc>
        <w:tc>
          <w:tcPr>
            <w:tcW w:type="dxa" w:w="39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Isolate the gap to a single awscc-based submodule with clear documentation; track the open GitHub issue for when native aws support lands and migrate later.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Lake Formation grant/revoke requires specific IAM permissions on the Terraform execution role; admins and grantees must not overlap.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AccessDeniedException failures during apply, with no console access to diagnose in higher environments.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Bake required lakeformation:*Grant*/*Revoke* and glue:GetTable/GetDatabase permissions into the pipeline role from day one; keep the pipeline role out of the Lake Formation admin list; validate the full permission model in DEV before promotion.</w:t>
            </w:r>
          </w:p>
        </w:tc>
      </w:tr>
      <w:tr>
        <w:tc>
          <w:tcPr>
            <w:tcW w:type="dxa" w:w="5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IAM Identity Center's assignment mode (implicit vs. explicit) is a permanent, domain-level choice.</w:t>
            </w:r>
          </w:p>
        </w:tc>
        <w:tc>
          <w:tcPr>
            <w:tcW w:type="dxa" w:w="24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Choosing implicit assignment early can inadvertently expose the catalog to the entire directory, with no way to reverse it later.</w:t>
            </w:r>
          </w:p>
        </w:tc>
        <w:tc>
          <w:tcPr>
            <w:tcW w:type="dxa" w:w="39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to explicit assignment for any domain governing sensitive data; document the decision and rationale before the domain is created.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console access to inspect Lake Formation or DataZone state in higher environments.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Debugging failed grants or subscriptions is significantly harder without visual inspection.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 the aws_lakeformation_permissions data source and AWS CLI/API calls (read-only) from within the pipeline or a bastion role to inspect state; build CloudWatch/EventBridge-based visibility into subscription and grant events.</w:t>
            </w:r>
          </w:p>
        </w:tc>
      </w:tr>
      <w:tr>
        <w:tc>
          <w:tcPr>
            <w:tcW w:type="dxa" w:w="50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LF-TBAC (tag-based access control) is not supported for DataZone-managed Glue assets.</w:t>
            </w:r>
          </w:p>
        </w:tc>
        <w:tc>
          <w:tcPr>
            <w:tcW w:type="dxa" w:w="24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Organizations standardized on tag-based policies cannot use that model for DataZone-published data.</w:t>
            </w:r>
          </w:p>
        </w:tc>
        <w:tc>
          <w:tcPr>
            <w:tcW w:type="dxa" w:w="3950"/>
            <w:shd w:fill="EDEF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Standardize on named-resource Lake Formation permissions for any asset intended for DataZone publication; reserve LF-TBAC for assets outside the DataZone catalog if still required elsewhere.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Direct IAM-user federation into the Data Portal only works for principals within the domain's own AWS account.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viable as the primary access path for a distributed, multi-account business-user population.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Standardize on IAM Identity Center federation for all business users; reserve direct IAM federation strictly for service accounts or administrative/API access.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Recommendations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4"/>
          <w:szCs w:val="24"/>
        </w:rPr>
        <w:t xml:space="preserve">10.1 Architecture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Adopt Amazon DataZone as the single business-facing catalog and subscription layer; do not build a parallel custom catalog.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Require Lake Formation management (including hybrid mode where applicable) for any asset intended for business-user publication, to guarantee automatic grant fulfillment.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Package related assets as DataZone Data Products where consumption patterns naturally group multiple tables, to reduce subscription friction.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4"/>
          <w:szCs w:val="24"/>
        </w:rPr>
        <w:t xml:space="preserve">10.2 Governance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Default to explicit user assignment for IAM Identity Center integration with the DataZone domain.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Maintain a clear separation between Lake Formation administrator principals and the principals that receive scoped grants, including the Terraform execution role itself.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Surface Glue Data Quality metrics in the catalog from the outset, so business users can assess trust before requesting access.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4"/>
          <w:szCs w:val="24"/>
        </w:rPr>
        <w:t xml:space="preserve">10.3 Infrastructure-as-Code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Build Terraform modules per architecture layer (Glue, Lake Formation, DataZone, Identity Center), using the aws provider as the default and awscc only where required (currently: subscription targets/data sources).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Grant the Terraform pipeline execution role the full set of Lake Formation grant/revoke and Glue read permissions upfront, rather than discovering gaps via failed applies in an environment without console access.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Prove every module end-to-end in DEV (where console verification is available) before promoting to higher environments.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Build lightweight, read-only observability (CLI/API checks, EventBridge-driven logging) into the pipeline so higher-environment issues can be diagnosed without console access.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4"/>
          <w:szCs w:val="24"/>
        </w:rPr>
        <w:t xml:space="preserve">10.4 Rollout Sequencing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Phase 1 — Foundation: Glue Data Catalog + Lake Formation resource registration and admin model, validated in DEV.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Phase 2 — Identity: IAM Identity Center integration and DataZone domain creation with explicit assignment.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Phase 3 — Catalog: DataZone projects, environments, glossary, and initial curated data products published from managed assets only.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Phase 4 — Self-Service: Enable the subscription/approval workflow for a pilot business-user group; monitor grant fulfillment end-to-end.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sz w:val="21"/>
          <w:szCs w:val="21"/>
        </w:rPr>
        <w:t xml:space="preserve">Phase 5 — Scale: Extend to additional business units, address any remaining unmanaged-asset cases, and promote the full Terraform module set to higher environments.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11. Conclusion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Amazon DataZone, layered on AWS Glue Data Catalog and AWS Lake Formation, and federated through AWS IAM Identity Center, provides a complete, AWS-native path from data lake to business-user consumption — discovery in business terms, governed self-service subscription, automatic permission fulfillment, and immediate query access via Athena, Redshift, or QuickSight. The entire stack is provisionable via Terraform, with only a small, well-defined gap (DataZone subscription targets) requiring the awscc provider as an interim measure. The challenges identified — around unmanaged assets, permission model separation, identity assignment permanence, and reduced console visibility in higher environments — are all addressable with the mitigations and phased rollout outlined above, without requiring a departure from the organization's existing environment-promotion model.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2026-07-06T11:36:50.704Z</dcterms:created>
  <dcterms:modified xsi:type="dcterms:W3CDTF">2026-07-06T11:36:50.704Z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