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rFonts w:ascii="Palatino Linotype" w:cs="Palatino Linotype" w:eastAsia="Palatino Linotype" w:hAnsi="Palatino Linotype"/>
          <w:color w:val="1f1f1f"/>
          <w:sz w:val="24"/>
          <w:szCs w:val="24"/>
        </w:rPr>
      </w:pPr>
      <w:r w:rsidDel="00000000" w:rsidR="00000000" w:rsidRPr="00000000">
        <w:rPr>
          <w:rFonts w:ascii="Palatino Linotype" w:cs="Palatino Linotype" w:eastAsia="Palatino Linotype" w:hAnsi="Palatino Linotype"/>
          <w:b w:val="1"/>
          <w:bCs w:val="1"/>
          <w:color w:val="1f1f1f"/>
          <w:sz w:val="24"/>
          <w:szCs w:val="24"/>
          <w:rtl w:val="0"/>
        </w:rPr>
        <w:t xml:space="preserve">Course:</w:t>
      </w:r>
      <w:r w:rsidDel="00000000" w:rsidR="00000000" w:rsidRPr="00000000">
        <w:rPr>
          <w:rFonts w:ascii="Palatino Linotype" w:cs="Palatino Linotype" w:eastAsia="Palatino Linotype" w:hAnsi="Palatino Linotype"/>
          <w:color w:val="1f1f1f"/>
          <w:sz w:val="24"/>
          <w:szCs w:val="24"/>
          <w:rtl w:val="0"/>
        </w:rPr>
        <w:t xml:space="preserve"> SMMC-EMI</w:t>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rFonts w:ascii="Palatino Linotype" w:cs="Palatino Linotype" w:eastAsia="Palatino Linotype" w:hAnsi="Palatino Linotype"/>
          <w:color w:val="1f1f1f"/>
          <w:sz w:val="24"/>
          <w:szCs w:val="24"/>
        </w:rPr>
      </w:pPr>
      <w:r w:rsidDel="00000000" w:rsidR="00000000" w:rsidRPr="00000000">
        <w:rPr>
          <w:rFonts w:ascii="Palatino Linotype" w:cs="Palatino Linotype" w:eastAsia="Palatino Linotype" w:hAnsi="Palatino Linotype"/>
          <w:b w:val="1"/>
          <w:bCs w:val="1"/>
          <w:color w:val="1f1f1f"/>
          <w:sz w:val="24"/>
          <w:szCs w:val="24"/>
          <w:rtl w:val="0"/>
        </w:rPr>
        <w:t xml:space="preserve">Date:</w:t>
      </w:r>
      <w:r w:rsidDel="00000000" w:rsidR="00000000" w:rsidRPr="00000000">
        <w:rPr>
          <w:rFonts w:ascii="Palatino Linotype" w:cs="Palatino Linotype" w:eastAsia="Palatino Linotype" w:hAnsi="Palatino Linotype"/>
          <w:color w:val="1f1f1f"/>
          <w:sz w:val="24"/>
          <w:szCs w:val="24"/>
          <w:rtl w:val="0"/>
        </w:rPr>
        <w:t xml:space="preserve"> 09/03</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rFonts w:ascii="Palatino Linotype" w:cs="Palatino Linotype" w:eastAsia="Palatino Linotype" w:hAnsi="Palatino Linotype"/>
          <w:color w:val="1f1f1f"/>
          <w:sz w:val="24"/>
          <w:szCs w:val="24"/>
        </w:rPr>
      </w:pPr>
      <w:r w:rsidDel="00000000" w:rsidR="00000000" w:rsidRPr="00000000">
        <w:rPr>
          <w:rFonts w:ascii="Palatino Linotype" w:cs="Palatino Linotype" w:eastAsia="Palatino Linotype" w:hAnsi="Palatino Linotype"/>
          <w:b w:val="1"/>
          <w:bCs w:val="1"/>
          <w:color w:val="1f1f1f"/>
          <w:sz w:val="24"/>
          <w:szCs w:val="24"/>
          <w:rtl w:val="0"/>
        </w:rPr>
        <w:t xml:space="preserve">Student Name:</w:t>
      </w:r>
      <w:r w:rsidDel="00000000" w:rsidR="00000000" w:rsidRPr="00000000">
        <w:rPr>
          <w:rFonts w:ascii="Palatino Linotype" w:cs="Palatino Linotype" w:eastAsia="Palatino Linotype" w:hAnsi="Palatino Linotype"/>
          <w:color w:val="1f1f1f"/>
          <w:sz w:val="24"/>
          <w:szCs w:val="24"/>
          <w:rtl w:val="0"/>
        </w:rPr>
        <w:t xml:space="preserve"> 楊慧賢 / Vicky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rFonts w:ascii="Palatino Linotype" w:cs="Palatino Linotype" w:eastAsia="Palatino Linotype" w:hAnsi="Palatino Linotype"/>
          <w:color w:val="1f1f1f"/>
          <w:sz w:val="24"/>
          <w:szCs w:val="24"/>
        </w:rPr>
      </w:pPr>
      <w:r w:rsidDel="00000000" w:rsidR="00000000" w:rsidRPr="00000000">
        <w:rPr>
          <w:rFonts w:ascii="Palatino Linotype" w:cs="Palatino Linotype" w:eastAsia="Palatino Linotype" w:hAnsi="Palatino Linotype"/>
          <w:b w:val="1"/>
          <w:bCs w:val="1"/>
          <w:color w:val="1f1f1f"/>
          <w:sz w:val="24"/>
          <w:szCs w:val="24"/>
          <w:rtl w:val="0"/>
        </w:rPr>
        <w:t xml:space="preserve">Student Number:</w:t>
      </w:r>
      <w:r w:rsidDel="00000000" w:rsidR="00000000" w:rsidRPr="00000000">
        <w:rPr>
          <w:rFonts w:ascii="Palatino Linotype" w:cs="Palatino Linotype" w:eastAsia="Palatino Linotype" w:hAnsi="Palatino Linotype"/>
          <w:color w:val="1f1f1f"/>
          <w:sz w:val="24"/>
          <w:szCs w:val="24"/>
          <w:rtl w:val="0"/>
        </w:rPr>
        <w:t xml:space="preserve"> 112212060</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rFonts w:ascii="Palatino Linotype" w:cs="Palatino Linotype" w:eastAsia="Palatino Linotype" w:hAnsi="Palatino Linotype"/>
          <w:color w:val="1f1f1f"/>
          <w:sz w:val="24"/>
          <w:szCs w:val="24"/>
        </w:rPr>
      </w:pPr>
      <w:r w:rsidDel="00000000" w:rsidR="00000000" w:rsidRPr="00000000">
        <w:rPr>
          <w:rFonts w:ascii="Palatino Linotype" w:cs="Palatino Linotype" w:eastAsia="Palatino Linotype" w:hAnsi="Palatino Linotype"/>
          <w:b w:val="1"/>
          <w:bCs w:val="1"/>
          <w:color w:val="1f1f1f"/>
          <w:sz w:val="24"/>
          <w:szCs w:val="24"/>
          <w:rtl w:val="0"/>
        </w:rPr>
        <w:t xml:space="preserve">Major:</w:t>
      </w:r>
      <w:r w:rsidDel="00000000" w:rsidR="00000000" w:rsidRPr="00000000">
        <w:rPr>
          <w:rFonts w:ascii="Palatino Linotype" w:cs="Palatino Linotype" w:eastAsia="Palatino Linotype" w:hAnsi="Palatino Linotype"/>
          <w:color w:val="1f1f1f"/>
          <w:sz w:val="24"/>
          <w:szCs w:val="24"/>
          <w:rtl w:val="0"/>
        </w:rPr>
        <w:t xml:space="preserve"> 國企三 (International Business, Year 3)</w:t>
      </w:r>
    </w:p>
    <w:p w:rsidR="00000000" w:rsidDel="00000000" w:rsidP="00000000" w:rsidRDefault="00000000" w:rsidRPr="00000000" w14:paraId="00000006">
      <w:pPr>
        <w:rPr>
          <w:rFonts w:ascii="Palatino Linotype" w:cs="Palatino Linotype" w:eastAsia="Palatino Linotype" w:hAnsi="Palatino Linotyp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Palatino Linotype" w:cs="Palatino Linotype" w:eastAsia="Palatino Linotype" w:hAnsi="Palatino Linotype"/>
          <w:b w:val="1"/>
          <w:bCs w:val="1"/>
          <w:color w:val="1f1f1f"/>
          <w:sz w:val="36"/>
          <w:szCs w:val="36"/>
        </w:rPr>
      </w:pPr>
      <w:bookmarkStart w:colFirst="0" w:colLast="0" w:name="_rp6oezh0kiwt" w:id="0"/>
      <w:bookmarkEnd w:id="0"/>
      <w:r w:rsidDel="00000000" w:rsidR="00000000" w:rsidRPr="00000000">
        <w:rPr>
          <w:rFonts w:ascii="Palatino Linotype" w:cs="Palatino Linotype" w:eastAsia="Palatino Linotype" w:hAnsi="Palatino Linotype"/>
          <w:b w:val="1"/>
          <w:bCs w:val="1"/>
          <w:color w:val="1f1f1f"/>
          <w:sz w:val="36"/>
          <w:szCs w:val="36"/>
          <w:rtl w:val="0"/>
        </w:rPr>
        <w:t xml:space="preserve">SMMC-EMI Course Execution &amp; Framework Report</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Palatino Linotype" w:cs="Palatino Linotype" w:eastAsia="Palatino Linotype" w:hAnsi="Palatino Linotype"/>
          <w:b w:val="1"/>
          <w:bCs w:val="1"/>
          <w:color w:val="1f1f1f"/>
        </w:rPr>
      </w:pPr>
      <w:bookmarkStart w:colFirst="0" w:colLast="0" w:name="_460kvxuiyog2" w:id="1"/>
      <w:bookmarkEnd w:id="1"/>
      <w:r w:rsidDel="00000000" w:rsidR="00000000" w:rsidRPr="00000000">
        <w:rPr>
          <w:rFonts w:ascii="Palatino Linotype" w:cs="Palatino Linotype" w:eastAsia="Palatino Linotype" w:hAnsi="Palatino Linotype"/>
          <w:b w:val="1"/>
          <w:bCs w:val="1"/>
          <w:color w:val="1f1f1f"/>
          <w:rtl w:val="0"/>
        </w:rPr>
        <w:t xml:space="preserve">Executive Summary</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rFonts w:ascii="Palatino Linotype" w:cs="Palatino Linotype" w:eastAsia="Palatino Linotype" w:hAnsi="Palatino Linotype"/>
          <w:color w:val="1f1f1f"/>
          <w:sz w:val="24"/>
          <w:szCs w:val="24"/>
        </w:rPr>
      </w:pPr>
      <w:r w:rsidDel="00000000" w:rsidR="00000000" w:rsidRPr="00000000">
        <w:rPr>
          <w:rFonts w:ascii="Palatino Linotype" w:cs="Palatino Linotype" w:eastAsia="Palatino Linotype" w:hAnsi="Palatino Linotype"/>
          <w:color w:val="1f1f1f"/>
          <w:sz w:val="24"/>
          <w:szCs w:val="24"/>
          <w:rtl w:val="0"/>
        </w:rPr>
        <w:t xml:space="preserve">This report outlines the foundational frameworks and administrative guidelines for the SMMC course, derived from the introductory lecture on September 3rd. The document is structured to serve as a systematic reference guide for the upcoming Team Project (TP). It is divided into three primary phases: Project Administration, The Team Project Process Flow, and an Applied Analytical Framework utilizing the semiconductor and smartphone supply chain as a baseline case study. By deconstructing the industry scope, supply chain mechanics, and organizational competencies, this report establishes a structured methodology for selecting and analyzing a focal company.</w:t>
      </w:r>
    </w:p>
    <w:p w:rsidR="00000000" w:rsidDel="00000000" w:rsidP="00000000" w:rsidRDefault="00000000" w:rsidRPr="00000000" w14:paraId="0000000A">
      <w:pPr>
        <w:rPr>
          <w:rFonts w:ascii="Palatino Linotype" w:cs="Palatino Linotype" w:eastAsia="Palatino Linotype" w:hAnsi="Palatino Linotyp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Palatino Linotype" w:cs="Palatino Linotype" w:eastAsia="Palatino Linotype" w:hAnsi="Palatino Linotype"/>
          <w:b w:val="1"/>
          <w:bCs w:val="1"/>
          <w:color w:val="1f1f1f"/>
        </w:rPr>
      </w:pPr>
      <w:bookmarkStart w:colFirst="0" w:colLast="0" w:name="_6lgxf6o74tj" w:id="2"/>
      <w:bookmarkEnd w:id="2"/>
      <w:r w:rsidDel="00000000" w:rsidR="00000000" w:rsidRPr="00000000">
        <w:rPr>
          <w:rFonts w:ascii="Palatino Linotype" w:cs="Palatino Linotype" w:eastAsia="Palatino Linotype" w:hAnsi="Palatino Linotype"/>
          <w:b w:val="1"/>
          <w:bCs w:val="1"/>
          <w:color w:val="1f1f1f"/>
          <w:rtl w:val="0"/>
        </w:rPr>
        <w:t xml:space="preserve">Part I: Project Administration and Technical Guidelines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rFonts w:ascii="Palatino Linotype" w:cs="Palatino Linotype" w:eastAsia="Palatino Linotype" w:hAnsi="Palatino Linotype"/>
          <w:color w:val="1f1f1f"/>
          <w:sz w:val="24"/>
          <w:szCs w:val="24"/>
        </w:rPr>
      </w:pPr>
      <w:r w:rsidDel="00000000" w:rsidR="00000000" w:rsidRPr="00000000">
        <w:rPr>
          <w:rFonts w:ascii="Palatino Linotype" w:cs="Palatino Linotype" w:eastAsia="Palatino Linotype" w:hAnsi="Palatino Linotype"/>
          <w:color w:val="1f1f1f"/>
          <w:sz w:val="24"/>
          <w:szCs w:val="24"/>
          <w:rtl w:val="0"/>
        </w:rPr>
        <w:t xml:space="preserve">To ensure standardized project delivery and maintain academic integrity, specific technical and policy constraints have been established on the Moodle course page. These guidelines act as the prerequisite input for the initial project phase.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120" w:lineRule="auto"/>
        <w:rPr>
          <w:rFonts w:ascii="Palatino Linotype" w:cs="Palatino Linotype" w:eastAsia="Palatino Linotype" w:hAnsi="Palatino Linotype"/>
          <w:b w:val="1"/>
          <w:bCs w:val="1"/>
          <w:color w:val="1f1f1f"/>
          <w:sz w:val="24"/>
          <w:szCs w:val="24"/>
        </w:rPr>
      </w:pPr>
      <w:r w:rsidDel="00000000" w:rsidR="00000000" w:rsidRPr="00000000">
        <w:rPr>
          <w:rFonts w:ascii="Palatino Linotype" w:cs="Palatino Linotype" w:eastAsia="Palatino Linotype" w:hAnsi="Palatino Linotype"/>
          <w:b w:val="1"/>
          <w:bCs w:val="1"/>
          <w:color w:val="1f1f1f"/>
          <w:sz w:val="24"/>
          <w:szCs w:val="24"/>
          <w:rtl w:val="0"/>
        </w:rPr>
        <w:t xml:space="preserve">Moodle Coursepage Requirements:</w:t>
      </w:r>
    </w:p>
    <w:p w:rsidR="00000000" w:rsidDel="00000000" w:rsidP="00000000" w:rsidRDefault="00000000" w:rsidRPr="00000000" w14:paraId="0000000E">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Palatino Linotype" w:cs="Palatino Linotype" w:eastAsia="Palatino Linotype" w:hAnsi="Palatino Linotype"/>
          <w:b w:val="1"/>
          <w:bCs w:val="1"/>
          <w:color w:val="1f1f1f"/>
          <w:sz w:val="24"/>
          <w:szCs w:val="24"/>
          <w:rtl w:val="0"/>
        </w:rPr>
        <w:t xml:space="preserve">AI Use Disclosure Policy:</w:t>
      </w:r>
      <w:r w:rsidDel="00000000" w:rsidR="00000000" w:rsidRPr="00000000">
        <w:rPr>
          <w:rFonts w:ascii="Palatino Linotype" w:cs="Palatino Linotype" w:eastAsia="Palatino Linotype" w:hAnsi="Palatino Linotype"/>
          <w:color w:val="1f1f1f"/>
          <w:sz w:val="24"/>
          <w:szCs w:val="24"/>
          <w:rtl w:val="0"/>
        </w:rPr>
        <w:t xml:space="preserve"> Any utilization of Artificial Intelligence tools during the research, drafting, or coding phases of the project must be explicitly documented and disclosed in accordance with the course's integrity guidelines. Transparency in AI-assisted work is mandatory.</w:t>
      </w:r>
    </w:p>
    <w:p w:rsidR="00000000" w:rsidDel="00000000" w:rsidP="00000000" w:rsidRDefault="00000000" w:rsidRPr="00000000" w14:paraId="0000000F">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Palatino Linotype" w:cs="Palatino Linotype" w:eastAsia="Palatino Linotype" w:hAnsi="Palatino Linotype"/>
          <w:b w:val="1"/>
          <w:bCs w:val="1"/>
          <w:color w:val="1f1f1f"/>
          <w:sz w:val="24"/>
          <w:szCs w:val="24"/>
          <w:rtl w:val="0"/>
        </w:rPr>
        <w:t xml:space="preserve">Single Page App (SPA) Constraints:</w:t>
      </w:r>
      <w:r w:rsidDel="00000000" w:rsidR="00000000" w:rsidRPr="00000000">
        <w:rPr>
          <w:rFonts w:ascii="Palatino Linotype" w:cs="Palatino Linotype" w:eastAsia="Palatino Linotype" w:hAnsi="Palatino Linotype"/>
          <w:color w:val="1f1f1f"/>
          <w:sz w:val="24"/>
          <w:szCs w:val="24"/>
          <w:rtl w:val="0"/>
        </w:rPr>
        <w:t xml:space="preserve"> Project deliverables must be constructed as a Single Page Application.</w:t>
      </w:r>
    </w:p>
    <w:p w:rsidR="00000000" w:rsidDel="00000000" w:rsidP="00000000" w:rsidRDefault="00000000" w:rsidRPr="00000000" w14:paraId="00000010">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Palatino Linotype" w:cs="Palatino Linotype" w:eastAsia="Palatino Linotype" w:hAnsi="Palatino Linotype"/>
          <w:b w:val="1"/>
          <w:bCs w:val="1"/>
          <w:color w:val="1f1f1f"/>
          <w:sz w:val="24"/>
          <w:szCs w:val="24"/>
          <w:rtl w:val="0"/>
        </w:rPr>
        <w:t xml:space="preserve">Technical Stack Limitation:</w:t>
      </w:r>
      <w:r w:rsidDel="00000000" w:rsidR="00000000" w:rsidRPr="00000000">
        <w:rPr>
          <w:rFonts w:ascii="Palatino Linotype" w:cs="Palatino Linotype" w:eastAsia="Palatino Linotype" w:hAnsi="Palatino Linotype"/>
          <w:color w:val="1f1f1f"/>
          <w:sz w:val="24"/>
          <w:szCs w:val="24"/>
          <w:rtl w:val="0"/>
        </w:rPr>
        <w:t xml:space="preserve"> The SPA must be developed using strictly </w:t>
      </w:r>
      <w:r w:rsidDel="00000000" w:rsidR="00000000" w:rsidRPr="00000000">
        <w:rPr>
          <w:rFonts w:ascii="Palatino Linotype" w:cs="Palatino Linotype" w:eastAsia="Palatino Linotype" w:hAnsi="Palatino Linotype"/>
          <w:color w:val="444746"/>
          <w:sz w:val="24"/>
          <w:szCs w:val="24"/>
          <w:shd w:fill="e9eef6" w:val="clear"/>
          <w:rtl w:val="0"/>
        </w:rPr>
        <w:t xml:space="preserve">.html</w:t>
      </w:r>
      <w:r w:rsidDel="00000000" w:rsidR="00000000" w:rsidRPr="00000000">
        <w:rPr>
          <w:rFonts w:ascii="Palatino Linotype" w:cs="Palatino Linotype" w:eastAsia="Palatino Linotype" w:hAnsi="Palatino Linotype"/>
          <w:color w:val="1f1f1f"/>
          <w:sz w:val="24"/>
          <w:szCs w:val="24"/>
          <w:rtl w:val="0"/>
        </w:rPr>
        <w:t xml:space="preserve"> files.</w:t>
      </w:r>
    </w:p>
    <w:p w:rsidR="00000000" w:rsidDel="00000000" w:rsidP="00000000" w:rsidRDefault="00000000" w:rsidRPr="00000000" w14:paraId="00000011">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Palatino Linotype" w:cs="Palatino Linotype" w:eastAsia="Palatino Linotype" w:hAnsi="Palatino Linotype"/>
          <w:b w:val="1"/>
          <w:bCs w:val="1"/>
          <w:color w:val="1f1f1f"/>
          <w:sz w:val="24"/>
          <w:szCs w:val="24"/>
          <w:rtl w:val="0"/>
        </w:rPr>
        <w:t xml:space="preserve">Browser Accessibility:</w:t>
      </w:r>
      <w:r w:rsidDel="00000000" w:rsidR="00000000" w:rsidRPr="00000000">
        <w:rPr>
          <w:rFonts w:ascii="Palatino Linotype" w:cs="Palatino Linotype" w:eastAsia="Palatino Linotype" w:hAnsi="Palatino Linotype"/>
          <w:color w:val="1f1f1f"/>
          <w:sz w:val="24"/>
          <w:szCs w:val="24"/>
          <w:rtl w:val="0"/>
        </w:rPr>
        <w:t xml:space="preserve"> The final deliverable must be fully accessible and operational via standard web browsers, specifically Google Chrome or Apple Safari.</w:t>
      </w:r>
    </w:p>
    <w:p w:rsidR="00000000" w:rsidDel="00000000" w:rsidP="00000000" w:rsidRDefault="00000000" w:rsidRPr="00000000" w14:paraId="00000012">
      <w:pPr>
        <w:numPr>
          <w:ilvl w:val="0"/>
          <w:numId w:val="6"/>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rFonts w:ascii="Palatino Linotype" w:cs="Palatino Linotype" w:eastAsia="Palatino Linotype" w:hAnsi="Palatino Linotype"/>
          <w:b w:val="1"/>
          <w:bCs w:val="1"/>
          <w:color w:val="1f1f1f"/>
          <w:sz w:val="24"/>
          <w:szCs w:val="24"/>
          <w:rtl w:val="0"/>
        </w:rPr>
        <w:t xml:space="preserve">Core Acronym:</w:t>
      </w:r>
      <w:r w:rsidDel="00000000" w:rsidR="00000000" w:rsidRPr="00000000">
        <w:rPr>
          <w:rFonts w:ascii="Palatino Linotype" w:cs="Palatino Linotype" w:eastAsia="Palatino Linotype" w:hAnsi="Palatino Linotype"/>
          <w:color w:val="1f1f1f"/>
          <w:sz w:val="24"/>
          <w:szCs w:val="24"/>
          <w:rtl w:val="0"/>
        </w:rPr>
        <w:t xml:space="preserve"> </w:t>
      </w:r>
      <w:r w:rsidDel="00000000" w:rsidR="00000000" w:rsidRPr="00000000">
        <w:rPr>
          <w:rFonts w:ascii="Palatino Linotype" w:cs="Palatino Linotype" w:eastAsia="Palatino Linotype" w:hAnsi="Palatino Linotype"/>
          <w:b w:val="1"/>
          <w:bCs w:val="1"/>
          <w:color w:val="1f1f1f"/>
          <w:sz w:val="24"/>
          <w:szCs w:val="24"/>
          <w:rtl w:val="0"/>
        </w:rPr>
        <w:t xml:space="preserve">TP</w:t>
      </w:r>
      <w:r w:rsidDel="00000000" w:rsidR="00000000" w:rsidRPr="00000000">
        <w:rPr>
          <w:rFonts w:ascii="Palatino Linotype" w:cs="Palatino Linotype" w:eastAsia="Palatino Linotype" w:hAnsi="Palatino Linotype"/>
          <w:color w:val="1f1f1f"/>
          <w:sz w:val="24"/>
          <w:szCs w:val="24"/>
          <w:rtl w:val="0"/>
        </w:rPr>
        <w:t xml:space="preserve"> stands for Team Project. This nomenclature will be used consistently across all project phases and documentation.</w:t>
      </w:r>
    </w:p>
    <w:p w:rsidR="00000000" w:rsidDel="00000000" w:rsidP="00000000" w:rsidRDefault="00000000" w:rsidRPr="00000000" w14:paraId="00000013">
      <w:pPr>
        <w:rPr>
          <w:rFonts w:ascii="Palatino Linotype" w:cs="Palatino Linotype" w:eastAsia="Palatino Linotype" w:hAnsi="Palatino Linotyp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Palatino Linotype" w:cs="Palatino Linotype" w:eastAsia="Palatino Linotype" w:hAnsi="Palatino Linotype"/>
          <w:b w:val="1"/>
          <w:bCs w:val="1"/>
          <w:color w:val="1f1f1f"/>
        </w:rPr>
      </w:pPr>
      <w:bookmarkStart w:colFirst="0" w:colLast="0" w:name="_s8xw63ekun4e" w:id="3"/>
      <w:bookmarkEnd w:id="3"/>
      <w:r w:rsidDel="00000000" w:rsidR="00000000" w:rsidRPr="00000000">
        <w:rPr>
          <w:rFonts w:ascii="Palatino Linotype" w:cs="Palatino Linotype" w:eastAsia="Palatino Linotype" w:hAnsi="Palatino Linotype"/>
          <w:b w:val="1"/>
          <w:bCs w:val="1"/>
          <w:color w:val="1f1f1f"/>
          <w:rtl w:val="0"/>
        </w:rPr>
        <w:t xml:space="preserve">Part II: The Team Project (TP) Process Flow</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rFonts w:ascii="Palatino Linotype" w:cs="Palatino Linotype" w:eastAsia="Palatino Linotype" w:hAnsi="Palatino Linotype"/>
          <w:color w:val="1f1f1f"/>
          <w:sz w:val="24"/>
          <w:szCs w:val="24"/>
        </w:rPr>
      </w:pPr>
      <w:r w:rsidDel="00000000" w:rsidR="00000000" w:rsidRPr="00000000">
        <w:rPr>
          <w:rFonts w:ascii="Palatino Linotype" w:cs="Palatino Linotype" w:eastAsia="Palatino Linotype" w:hAnsi="Palatino Linotype"/>
          <w:color w:val="1f1f1f"/>
          <w:sz w:val="24"/>
          <w:szCs w:val="24"/>
          <w:rtl w:val="0"/>
        </w:rPr>
        <w:t xml:space="preserve">The Team Project is engineered as a multi-stage, process-oriented analytical exercise. It requires moving from high-level company selection through sequential progress reports, culminating in a final comprehensive submission.</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rFonts w:ascii="Palatino Linotype" w:cs="Palatino Linotype" w:eastAsia="Palatino Linotype" w:hAnsi="Palatino Linotype"/>
          <w:b w:val="1"/>
          <w:bCs w:val="1"/>
          <w:color w:val="1f1f1f"/>
          <w:sz w:val="24"/>
          <w:szCs w:val="24"/>
        </w:rPr>
      </w:pPr>
      <w:r w:rsidDel="00000000" w:rsidR="00000000" w:rsidRPr="00000000">
        <w:rPr>
          <w:rFonts w:ascii="Palatino Linotype" w:cs="Palatino Linotype" w:eastAsia="Palatino Linotype" w:hAnsi="Palatino Linotype"/>
          <w:b w:val="1"/>
          <w:bCs w:val="1"/>
          <w:color w:val="1f1f1f"/>
          <w:sz w:val="24"/>
          <w:szCs w:val="24"/>
          <w:rtl w:val="0"/>
        </w:rPr>
        <w:t xml:space="preserve">2.1 Project Lifecycle Milestones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20" w:lineRule="auto"/>
        <w:rPr>
          <w:rFonts w:ascii="Palatino Linotype" w:cs="Palatino Linotype" w:eastAsia="Palatino Linotype" w:hAnsi="Palatino Linotype"/>
          <w:color w:val="1f1f1f"/>
          <w:sz w:val="24"/>
          <w:szCs w:val="24"/>
        </w:rPr>
      </w:pPr>
      <w:r w:rsidDel="00000000" w:rsidR="00000000" w:rsidRPr="00000000">
        <w:rPr>
          <w:rFonts w:ascii="Palatino Linotype" w:cs="Palatino Linotype" w:eastAsia="Palatino Linotype" w:hAnsi="Palatino Linotype"/>
          <w:color w:val="1f1f1f"/>
          <w:sz w:val="24"/>
          <w:szCs w:val="24"/>
          <w:rtl w:val="0"/>
        </w:rPr>
        <w:t xml:space="preserve">The project is governed by a strict milestone pipeline, ensuring continuous progress and allowing for iterative feedback. The timeline is structured as follows:</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Palatino Linotype" w:cs="Palatino Linotype" w:eastAsia="Palatino Linotype" w:hAnsi="Palatino Linotype"/>
          <w:b w:val="1"/>
          <w:bCs w:val="1"/>
          <w:color w:val="1f1f1f"/>
          <w:sz w:val="24"/>
          <w:szCs w:val="24"/>
          <w:rtl w:val="0"/>
        </w:rPr>
        <w:t xml:space="preserve">Tp0 (Project Initiation):</w:t>
      </w:r>
      <w:r w:rsidDel="00000000" w:rsidR="00000000" w:rsidRPr="00000000">
        <w:rPr>
          <w:rFonts w:ascii="Palatino Linotype" w:cs="Palatino Linotype" w:eastAsia="Palatino Linotype" w:hAnsi="Palatino Linotype"/>
          <w:color w:val="1f1f1f"/>
          <w:sz w:val="24"/>
          <w:szCs w:val="24"/>
          <w:rtl w:val="0"/>
        </w:rPr>
        <w:t xml:space="preserve"> The preliminary stage involving the selection of the focal company, defining the initial scope, and establishing the team structure.</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Palatino Linotype" w:cs="Palatino Linotype" w:eastAsia="Palatino Linotype" w:hAnsi="Palatino Linotype"/>
          <w:b w:val="1"/>
          <w:bCs w:val="1"/>
          <w:color w:val="1f1f1f"/>
          <w:sz w:val="24"/>
          <w:szCs w:val="24"/>
          <w:rtl w:val="0"/>
        </w:rPr>
        <w:t xml:space="preserve">Tp1 (Progress Report 1):</w:t>
      </w:r>
      <w:r w:rsidDel="00000000" w:rsidR="00000000" w:rsidRPr="00000000">
        <w:rPr>
          <w:rFonts w:ascii="Palatino Linotype" w:cs="Palatino Linotype" w:eastAsia="Palatino Linotype" w:hAnsi="Palatino Linotype"/>
          <w:color w:val="1f1f1f"/>
          <w:sz w:val="24"/>
          <w:szCs w:val="24"/>
          <w:rtl w:val="0"/>
        </w:rPr>
        <w:t xml:space="preserve"> The first formal update on market research and structural analysis.</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Palatino Linotype" w:cs="Palatino Linotype" w:eastAsia="Palatino Linotype" w:hAnsi="Palatino Linotype"/>
          <w:b w:val="1"/>
          <w:bCs w:val="1"/>
          <w:color w:val="1f1f1f"/>
          <w:sz w:val="24"/>
          <w:szCs w:val="24"/>
          <w:rtl w:val="0"/>
        </w:rPr>
        <w:t xml:space="preserve">Tp2 (Progress Report 2):</w:t>
      </w:r>
      <w:r w:rsidDel="00000000" w:rsidR="00000000" w:rsidRPr="00000000">
        <w:rPr>
          <w:rFonts w:ascii="Palatino Linotype" w:cs="Palatino Linotype" w:eastAsia="Palatino Linotype" w:hAnsi="Palatino Linotype"/>
          <w:color w:val="1f1f1f"/>
          <w:sz w:val="24"/>
          <w:szCs w:val="24"/>
          <w:rtl w:val="0"/>
        </w:rPr>
        <w:t xml:space="preserve"> Intermediate analysis, likely focusing on supply chain dynamics, competency frameworks, or competitive positioning.</w:t>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Palatino Linotype" w:cs="Palatino Linotype" w:eastAsia="Palatino Linotype" w:hAnsi="Palatino Linotype"/>
          <w:b w:val="1"/>
          <w:bCs w:val="1"/>
          <w:color w:val="1f1f1f"/>
          <w:sz w:val="24"/>
          <w:szCs w:val="24"/>
          <w:rtl w:val="0"/>
        </w:rPr>
        <w:t xml:space="preserve">Tp3 (Progress Report 3):</w:t>
      </w:r>
      <w:r w:rsidDel="00000000" w:rsidR="00000000" w:rsidRPr="00000000">
        <w:rPr>
          <w:rFonts w:ascii="Palatino Linotype" w:cs="Palatino Linotype" w:eastAsia="Palatino Linotype" w:hAnsi="Palatino Linotype"/>
          <w:color w:val="1f1f1f"/>
          <w:sz w:val="24"/>
          <w:szCs w:val="24"/>
          <w:rtl w:val="0"/>
        </w:rPr>
        <w:t xml:space="preserve"> Late-stage synthesis of data, identifying strategic gaps, and finalizing the analytical models.</w:t>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rFonts w:ascii="Palatino Linotype" w:cs="Palatino Linotype" w:eastAsia="Palatino Linotype" w:hAnsi="Palatino Linotype"/>
          <w:b w:val="1"/>
          <w:bCs w:val="1"/>
          <w:color w:val="1f1f1f"/>
          <w:sz w:val="24"/>
          <w:szCs w:val="24"/>
          <w:rtl w:val="0"/>
        </w:rPr>
        <w:t xml:space="preserve">Tp Final (Final Submission):</w:t>
      </w:r>
      <w:r w:rsidDel="00000000" w:rsidR="00000000" w:rsidRPr="00000000">
        <w:rPr>
          <w:rFonts w:ascii="Palatino Linotype" w:cs="Palatino Linotype" w:eastAsia="Palatino Linotype" w:hAnsi="Palatino Linotype"/>
          <w:color w:val="1f1f1f"/>
          <w:sz w:val="24"/>
          <w:szCs w:val="24"/>
          <w:rtl w:val="0"/>
        </w:rPr>
        <w:t xml:space="preserve"> The comprehensive delivery of the Single Page App (.html) containing the complete focal company analysis.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rFonts w:ascii="Palatino Linotype" w:cs="Palatino Linotype" w:eastAsia="Palatino Linotype" w:hAnsi="Palatino Linotype"/>
          <w:b w:val="1"/>
          <w:bCs w:val="1"/>
          <w:color w:val="1f1f1f"/>
          <w:sz w:val="24"/>
          <w:szCs w:val="24"/>
        </w:rPr>
      </w:pPr>
      <w:r w:rsidDel="00000000" w:rsidR="00000000" w:rsidRPr="00000000">
        <w:rPr>
          <w:rFonts w:ascii="Palatino Linotype" w:cs="Palatino Linotype" w:eastAsia="Palatino Linotype" w:hAnsi="Palatino Linotype"/>
          <w:b w:val="1"/>
          <w:bCs w:val="1"/>
          <w:color w:val="1f1f1f"/>
          <w:sz w:val="24"/>
          <w:szCs w:val="24"/>
          <w:rtl w:val="0"/>
        </w:rPr>
        <w:t xml:space="preserve">2.2 Focal Company Selection</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rFonts w:ascii="Palatino Linotype" w:cs="Palatino Linotype" w:eastAsia="Palatino Linotype" w:hAnsi="Palatino Linotype"/>
          <w:color w:val="1f1f1f"/>
          <w:sz w:val="24"/>
          <w:szCs w:val="24"/>
        </w:rPr>
      </w:pPr>
      <w:r w:rsidDel="00000000" w:rsidR="00000000" w:rsidRPr="00000000">
        <w:rPr>
          <w:rFonts w:ascii="Palatino Linotype" w:cs="Palatino Linotype" w:eastAsia="Palatino Linotype" w:hAnsi="Palatino Linotype"/>
          <w:color w:val="1f1f1f"/>
          <w:sz w:val="24"/>
          <w:szCs w:val="24"/>
          <w:rtl w:val="0"/>
        </w:rPr>
        <w:t xml:space="preserve">The core objective of the TP is to conduct a deep-dive analysis of a single "Focal Company." This company acts as the anchor point for all subsequent supply chain and market environment research.</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20" w:lineRule="auto"/>
        <w:rPr>
          <w:rFonts w:ascii="Palatino Linotype" w:cs="Palatino Linotype" w:eastAsia="Palatino Linotype" w:hAnsi="Palatino Linotype"/>
          <w:b w:val="1"/>
          <w:bCs w:val="1"/>
          <w:color w:val="1f1f1f"/>
          <w:sz w:val="24"/>
          <w:szCs w:val="24"/>
        </w:rPr>
      </w:pPr>
      <w:r w:rsidDel="00000000" w:rsidR="00000000" w:rsidRPr="00000000">
        <w:rPr>
          <w:rFonts w:ascii="Palatino Linotype" w:cs="Palatino Linotype" w:eastAsia="Palatino Linotype" w:hAnsi="Palatino Linotype"/>
          <w:b w:val="1"/>
          <w:bCs w:val="1"/>
          <w:color w:val="1f1f1f"/>
          <w:sz w:val="24"/>
          <w:szCs w:val="24"/>
          <w:rtl w:val="0"/>
        </w:rPr>
        <w:t xml:space="preserve">Example Sectors and Focal Companies:</w:t>
      </w:r>
    </w:p>
    <w:p w:rsidR="00000000" w:rsidDel="00000000" w:rsidP="00000000" w:rsidRDefault="00000000" w:rsidRPr="00000000" w14:paraId="00000020">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Palatino Linotype" w:cs="Palatino Linotype" w:eastAsia="Palatino Linotype" w:hAnsi="Palatino Linotype"/>
          <w:b w:val="1"/>
          <w:bCs w:val="1"/>
          <w:color w:val="1f1f1f"/>
          <w:sz w:val="24"/>
          <w:szCs w:val="24"/>
          <w:rtl w:val="0"/>
        </w:rPr>
        <w:t xml:space="preserve">Technology/E-commerce:</w:t>
      </w:r>
      <w:r w:rsidDel="00000000" w:rsidR="00000000" w:rsidRPr="00000000">
        <w:rPr>
          <w:rFonts w:ascii="Palatino Linotype" w:cs="Palatino Linotype" w:eastAsia="Palatino Linotype" w:hAnsi="Palatino Linotype"/>
          <w:color w:val="1f1f1f"/>
          <w:sz w:val="24"/>
          <w:szCs w:val="24"/>
          <w:rtl w:val="0"/>
        </w:rPr>
        <w:t xml:space="preserve"> Apple, Amazon</w:t>
      </w:r>
    </w:p>
    <w:p w:rsidR="00000000" w:rsidDel="00000000" w:rsidP="00000000" w:rsidRDefault="00000000" w:rsidRPr="00000000" w14:paraId="00000021">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Palatino Linotype" w:cs="Palatino Linotype" w:eastAsia="Palatino Linotype" w:hAnsi="Palatino Linotype"/>
          <w:b w:val="1"/>
          <w:bCs w:val="1"/>
          <w:color w:val="1f1f1f"/>
          <w:sz w:val="24"/>
          <w:szCs w:val="24"/>
          <w:rtl w:val="0"/>
        </w:rPr>
        <w:t xml:space="preserve">Retail:</w:t>
      </w:r>
      <w:r w:rsidDel="00000000" w:rsidR="00000000" w:rsidRPr="00000000">
        <w:rPr>
          <w:rFonts w:ascii="Palatino Linotype" w:cs="Palatino Linotype" w:eastAsia="Palatino Linotype" w:hAnsi="Palatino Linotype"/>
          <w:color w:val="1f1f1f"/>
          <w:sz w:val="24"/>
          <w:szCs w:val="24"/>
          <w:rtl w:val="0"/>
        </w:rPr>
        <w:t xml:space="preserve"> Walmart</w:t>
      </w:r>
    </w:p>
    <w:p w:rsidR="00000000" w:rsidDel="00000000" w:rsidP="00000000" w:rsidRDefault="00000000" w:rsidRPr="00000000" w14:paraId="00000022">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Palatino Linotype" w:cs="Palatino Linotype" w:eastAsia="Palatino Linotype" w:hAnsi="Palatino Linotype"/>
          <w:b w:val="1"/>
          <w:bCs w:val="1"/>
          <w:color w:val="1f1f1f"/>
          <w:sz w:val="24"/>
          <w:szCs w:val="24"/>
          <w:rtl w:val="0"/>
        </w:rPr>
        <w:t xml:space="preserve">Apparel/Fashion Brands:</w:t>
      </w:r>
      <w:r w:rsidDel="00000000" w:rsidR="00000000" w:rsidRPr="00000000">
        <w:rPr>
          <w:rFonts w:ascii="Palatino Linotype" w:cs="Palatino Linotype" w:eastAsia="Palatino Linotype" w:hAnsi="Palatino Linotype"/>
          <w:color w:val="1f1f1f"/>
          <w:sz w:val="24"/>
          <w:szCs w:val="24"/>
          <w:rtl w:val="0"/>
        </w:rPr>
        <w:t xml:space="preserve"> Nike</w:t>
      </w:r>
    </w:p>
    <w:p w:rsidR="00000000" w:rsidDel="00000000" w:rsidP="00000000" w:rsidRDefault="00000000" w:rsidRPr="00000000" w14:paraId="00000023">
      <w:pPr>
        <w:numPr>
          <w:ilvl w:val="0"/>
          <w:numId w:val="8"/>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rFonts w:ascii="Palatino Linotype" w:cs="Palatino Linotype" w:eastAsia="Palatino Linotype" w:hAnsi="Palatino Linotype"/>
          <w:b w:val="1"/>
          <w:bCs w:val="1"/>
          <w:color w:val="1f1f1f"/>
          <w:sz w:val="24"/>
          <w:szCs w:val="24"/>
          <w:rtl w:val="0"/>
        </w:rPr>
        <w:t xml:space="preserve">Manufacturing:</w:t>
      </w:r>
      <w:r w:rsidDel="00000000" w:rsidR="00000000" w:rsidRPr="00000000">
        <w:rPr>
          <w:rFonts w:ascii="Palatino Linotype" w:cs="Palatino Linotype" w:eastAsia="Palatino Linotype" w:hAnsi="Palatino Linotype"/>
          <w:color w:val="1f1f1f"/>
          <w:sz w:val="24"/>
          <w:szCs w:val="24"/>
          <w:rtl w:val="0"/>
        </w:rPr>
        <w:t xml:space="preserve"> Various Automotive Manufacturers</w:t>
      </w:r>
    </w:p>
    <w:p w:rsidR="00000000" w:rsidDel="00000000" w:rsidP="00000000" w:rsidRDefault="00000000" w:rsidRPr="00000000" w14:paraId="00000024">
      <w:pPr>
        <w:rPr>
          <w:rFonts w:ascii="Palatino Linotype" w:cs="Palatino Linotype" w:eastAsia="Palatino Linotype" w:hAnsi="Palatino Linotyp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Palatino Linotype" w:cs="Palatino Linotype" w:eastAsia="Palatino Linotype" w:hAnsi="Palatino Linotype"/>
          <w:b w:val="1"/>
          <w:bCs w:val="1"/>
          <w:color w:val="1f1f1f"/>
        </w:rPr>
      </w:pPr>
      <w:bookmarkStart w:colFirst="0" w:colLast="0" w:name="_pkfxy3p2vvsj" w:id="4"/>
      <w:bookmarkEnd w:id="4"/>
      <w:r w:rsidDel="00000000" w:rsidR="00000000" w:rsidRPr="00000000">
        <w:rPr>
          <w:rFonts w:ascii="Palatino Linotype" w:cs="Palatino Linotype" w:eastAsia="Palatino Linotype" w:hAnsi="Palatino Linotype"/>
          <w:b w:val="1"/>
          <w:bCs w:val="1"/>
          <w:color w:val="1f1f1f"/>
          <w:rtl w:val="0"/>
        </w:rPr>
        <w:t xml:space="preserve">Part III: Macro-Environmental Analysis and Scope Definition</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rFonts w:ascii="Palatino Linotype" w:cs="Palatino Linotype" w:eastAsia="Palatino Linotype" w:hAnsi="Palatino Linotype"/>
          <w:color w:val="1f1f1f"/>
          <w:sz w:val="24"/>
          <w:szCs w:val="24"/>
        </w:rPr>
      </w:pPr>
      <w:r w:rsidDel="00000000" w:rsidR="00000000" w:rsidRPr="00000000">
        <w:rPr>
          <w:rFonts w:ascii="Palatino Linotype" w:cs="Palatino Linotype" w:eastAsia="Palatino Linotype" w:hAnsi="Palatino Linotype"/>
          <w:color w:val="1f1f1f"/>
          <w:sz w:val="24"/>
          <w:szCs w:val="24"/>
          <w:rtl w:val="0"/>
        </w:rPr>
        <w:t xml:space="preserve">Before analyzing the internal mechanisms of a focal company, the external market environment must be defined. This requires establishing clear boundaries regarding what constitutes the industry and identifying external competitive forces.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20" w:lineRule="auto"/>
        <w:rPr>
          <w:rFonts w:ascii="Palatino Linotype" w:cs="Palatino Linotype" w:eastAsia="Palatino Linotype" w:hAnsi="Palatino Linotype"/>
          <w:b w:val="1"/>
          <w:bCs w:val="1"/>
          <w:color w:val="1f1f1f"/>
          <w:sz w:val="24"/>
          <w:szCs w:val="24"/>
        </w:rPr>
      </w:pPr>
      <w:r w:rsidDel="00000000" w:rsidR="00000000" w:rsidRPr="00000000">
        <w:rPr>
          <w:rFonts w:ascii="Palatino Linotype" w:cs="Palatino Linotype" w:eastAsia="Palatino Linotype" w:hAnsi="Palatino Linotype"/>
          <w:b w:val="1"/>
          <w:bCs w:val="1"/>
          <w:color w:val="1f1f1f"/>
          <w:sz w:val="24"/>
          <w:szCs w:val="24"/>
          <w:rtl w:val="0"/>
        </w:rPr>
        <w:t xml:space="preserve">Defining the Market Scope:</w:t>
      </w:r>
    </w:p>
    <w:p w:rsidR="00000000" w:rsidDel="00000000" w:rsidP="00000000" w:rsidRDefault="00000000" w:rsidRPr="00000000" w14:paraId="0000002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Palatino Linotype" w:cs="Palatino Linotype" w:eastAsia="Palatino Linotype" w:hAnsi="Palatino Linotype"/>
          <w:b w:val="1"/>
          <w:bCs w:val="1"/>
          <w:color w:val="1f1f1f"/>
          <w:sz w:val="24"/>
          <w:szCs w:val="24"/>
          <w:rtl w:val="0"/>
        </w:rPr>
        <w:t xml:space="preserve">Industry Composition:</w:t>
      </w:r>
      <w:r w:rsidDel="00000000" w:rsidR="00000000" w:rsidRPr="00000000">
        <w:rPr>
          <w:rFonts w:ascii="Palatino Linotype" w:cs="Palatino Linotype" w:eastAsia="Palatino Linotype" w:hAnsi="Palatino Linotype"/>
          <w:color w:val="1f1f1f"/>
          <w:sz w:val="24"/>
          <w:szCs w:val="24"/>
          <w:rtl w:val="0"/>
        </w:rPr>
        <w:t xml:space="preserve"> The industry is defined mathematically and conceptually as the sum of all participating firms ($\text{Industry} = \Sigma \text{Firms}$). This establishes the baseline competitive landscape.</w:t>
      </w:r>
    </w:p>
    <w:p w:rsidR="00000000" w:rsidDel="00000000" w:rsidP="00000000" w:rsidRDefault="00000000" w:rsidRPr="00000000" w14:paraId="00000029">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Palatino Linotype" w:cs="Palatino Linotype" w:eastAsia="Palatino Linotype" w:hAnsi="Palatino Linotype"/>
          <w:b w:val="1"/>
          <w:bCs w:val="1"/>
          <w:color w:val="1f1f1f"/>
          <w:sz w:val="24"/>
          <w:szCs w:val="24"/>
          <w:rtl w:val="0"/>
        </w:rPr>
        <w:t xml:space="preserve">Substitutes (替代品):</w:t>
      </w:r>
      <w:r w:rsidDel="00000000" w:rsidR="00000000" w:rsidRPr="00000000">
        <w:rPr>
          <w:rFonts w:ascii="Palatino Linotype" w:cs="Palatino Linotype" w:eastAsia="Palatino Linotype" w:hAnsi="Palatino Linotype"/>
          <w:color w:val="1f1f1f"/>
          <w:sz w:val="24"/>
          <w:szCs w:val="24"/>
          <w:rtl w:val="0"/>
        </w:rPr>
        <w:t xml:space="preserve"> Analysis must account for alternative products or services outside the immediate industry boundaries that fulfill the same consumer need. The threat of substitution directly impacts pricing strategy and market share retention.</w:t>
      </w:r>
    </w:p>
    <w:p w:rsidR="00000000" w:rsidDel="00000000" w:rsidP="00000000" w:rsidRDefault="00000000" w:rsidRPr="00000000" w14:paraId="0000002A">
      <w:pPr>
        <w:numPr>
          <w:ilvl w:val="0"/>
          <w:numId w:val="4"/>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rFonts w:ascii="Palatino Linotype" w:cs="Palatino Linotype" w:eastAsia="Palatino Linotype" w:hAnsi="Palatino Linotype"/>
          <w:b w:val="1"/>
          <w:bCs w:val="1"/>
          <w:color w:val="1f1f1f"/>
          <w:sz w:val="24"/>
          <w:szCs w:val="24"/>
          <w:rtl w:val="0"/>
        </w:rPr>
        <w:t xml:space="preserve">Complements (互補品):</w:t>
      </w:r>
      <w:r w:rsidDel="00000000" w:rsidR="00000000" w:rsidRPr="00000000">
        <w:rPr>
          <w:rFonts w:ascii="Palatino Linotype" w:cs="Palatino Linotype" w:eastAsia="Palatino Linotype" w:hAnsi="Palatino Linotype"/>
          <w:color w:val="1f1f1f"/>
          <w:sz w:val="24"/>
          <w:szCs w:val="24"/>
          <w:rtl w:val="0"/>
        </w:rPr>
        <w:t xml:space="preserve"> Identification of products or services whose value is heavily tied to the focal company's offerings. A strong ecosystem of complementary goods can significantly enhance the focal company's value proposition and lock-in consumers.</w:t>
      </w:r>
    </w:p>
    <w:p w:rsidR="00000000" w:rsidDel="00000000" w:rsidP="00000000" w:rsidRDefault="00000000" w:rsidRPr="00000000" w14:paraId="0000002B">
      <w:pPr>
        <w:rPr>
          <w:rFonts w:ascii="Palatino Linotype" w:cs="Palatino Linotype" w:eastAsia="Palatino Linotype" w:hAnsi="Palatino Linotyp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Palatino Linotype" w:cs="Palatino Linotype" w:eastAsia="Palatino Linotype" w:hAnsi="Palatino Linotype"/>
          <w:b w:val="1"/>
          <w:bCs w:val="1"/>
          <w:color w:val="1f1f1f"/>
        </w:rPr>
      </w:pPr>
      <w:bookmarkStart w:colFirst="0" w:colLast="0" w:name="_6mxyca7qfvas" w:id="5"/>
      <w:bookmarkEnd w:id="5"/>
      <w:r w:rsidDel="00000000" w:rsidR="00000000" w:rsidRPr="00000000">
        <w:rPr>
          <w:rFonts w:ascii="Palatino Linotype" w:cs="Palatino Linotype" w:eastAsia="Palatino Linotype" w:hAnsi="Palatino Linotype"/>
          <w:b w:val="1"/>
          <w:bCs w:val="1"/>
          <w:color w:val="1f1f1f"/>
          <w:rtl w:val="0"/>
        </w:rPr>
        <w:t xml:space="preserve">Part IV: Case Study Application - The Semiconductor Ecosystem</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rFonts w:ascii="Palatino Linotype" w:cs="Palatino Linotype" w:eastAsia="Palatino Linotype" w:hAnsi="Palatino Linotype"/>
          <w:color w:val="1f1f1f"/>
          <w:sz w:val="24"/>
          <w:szCs w:val="24"/>
        </w:rPr>
      </w:pPr>
      <w:r w:rsidDel="00000000" w:rsidR="00000000" w:rsidRPr="00000000">
        <w:rPr>
          <w:rFonts w:ascii="Palatino Linotype" w:cs="Palatino Linotype" w:eastAsia="Palatino Linotype" w:hAnsi="Palatino Linotype"/>
          <w:color w:val="1f1f1f"/>
          <w:sz w:val="24"/>
          <w:szCs w:val="24"/>
          <w:rtl w:val="0"/>
        </w:rPr>
        <w:t xml:space="preserve">To demonstrate the depth of analysis required for the Team Project, the lecture provided a comprehensive structural breakdown of the semiconductor and smartphone industry, specifically looking at MediaTek's Smartphone Business Unit (BU). This serves as a blueprint for how teams should map their chosen focal company's supply chain.</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rFonts w:ascii="Palatino Linotype" w:cs="Palatino Linotype" w:eastAsia="Palatino Linotype" w:hAnsi="Palatino Linotype"/>
          <w:b w:val="1"/>
          <w:bCs w:val="1"/>
          <w:color w:val="1f1f1f"/>
          <w:sz w:val="24"/>
          <w:szCs w:val="24"/>
        </w:rPr>
      </w:pPr>
      <w:r w:rsidDel="00000000" w:rsidR="00000000" w:rsidRPr="00000000">
        <w:rPr>
          <w:rFonts w:ascii="Palatino Linotype" w:cs="Palatino Linotype" w:eastAsia="Palatino Linotype" w:hAnsi="Palatino Linotype"/>
          <w:b w:val="1"/>
          <w:bCs w:val="1"/>
          <w:color w:val="1f1f1f"/>
          <w:sz w:val="24"/>
          <w:szCs w:val="24"/>
          <w:rtl w:val="0"/>
        </w:rPr>
        <w:t xml:space="preserve">4.1 Supply Chain Architecture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120" w:lineRule="auto"/>
        <w:rPr>
          <w:rFonts w:ascii="Palatino Linotype" w:cs="Palatino Linotype" w:eastAsia="Palatino Linotype" w:hAnsi="Palatino Linotype"/>
          <w:color w:val="1f1f1f"/>
          <w:sz w:val="24"/>
          <w:szCs w:val="24"/>
        </w:rPr>
      </w:pPr>
      <w:r w:rsidDel="00000000" w:rsidR="00000000" w:rsidRPr="00000000">
        <w:rPr>
          <w:rFonts w:ascii="Palatino Linotype" w:cs="Palatino Linotype" w:eastAsia="Palatino Linotype" w:hAnsi="Palatino Linotype"/>
          <w:color w:val="1f1f1f"/>
          <w:sz w:val="24"/>
          <w:szCs w:val="24"/>
          <w:rtl w:val="0"/>
        </w:rPr>
        <w:t xml:space="preserve">The industry is segmented into a rigid vertical hierarchy, tracking the flow of value from raw intellectual property to the final consumer product.</w:t>
      </w:r>
    </w:p>
    <w:p w:rsidR="00000000" w:rsidDel="00000000" w:rsidP="00000000" w:rsidRDefault="00000000" w:rsidRPr="00000000" w14:paraId="00000030">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Palatino Linotype" w:cs="Palatino Linotype" w:eastAsia="Palatino Linotype" w:hAnsi="Palatino Linotype"/>
          <w:b w:val="1"/>
          <w:bCs w:val="1"/>
          <w:color w:val="1f1f1f"/>
          <w:sz w:val="24"/>
          <w:szCs w:val="24"/>
          <w:rtl w:val="0"/>
        </w:rPr>
        <w:t xml:space="preserve">Upstream (上游):</w:t>
      </w:r>
      <w:r w:rsidDel="00000000" w:rsidR="00000000" w:rsidRPr="00000000">
        <w:rPr>
          <w:rFonts w:ascii="Palatino Linotype" w:cs="Palatino Linotype" w:eastAsia="Palatino Linotype" w:hAnsi="Palatino Linotype"/>
          <w:color w:val="1f1f1f"/>
          <w:sz w:val="24"/>
          <w:szCs w:val="24"/>
          <w:rtl w:val="0"/>
        </w:rPr>
        <w:t xml:space="preserve"> The origin point of product creation, focusing on research, development, and high-level design.</w:t>
      </w:r>
    </w:p>
    <w:p w:rsidR="00000000" w:rsidDel="00000000" w:rsidP="00000000" w:rsidRDefault="00000000" w:rsidRPr="00000000" w14:paraId="00000031">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Palatino Linotype" w:cs="Palatino Linotype" w:eastAsia="Palatino Linotype" w:hAnsi="Palatino Linotype"/>
          <w:b w:val="1"/>
          <w:bCs w:val="1"/>
          <w:color w:val="1f1f1f"/>
          <w:sz w:val="24"/>
          <w:szCs w:val="24"/>
          <w:rtl w:val="0"/>
        </w:rPr>
        <w:t xml:space="preserve">Middle (Midstream):</w:t>
      </w:r>
      <w:r w:rsidDel="00000000" w:rsidR="00000000" w:rsidRPr="00000000">
        <w:rPr>
          <w:rFonts w:ascii="Palatino Linotype" w:cs="Palatino Linotype" w:eastAsia="Palatino Linotype" w:hAnsi="Palatino Linotype"/>
          <w:color w:val="1f1f1f"/>
          <w:sz w:val="24"/>
          <w:szCs w:val="24"/>
          <w:rtl w:val="0"/>
        </w:rPr>
        <w:t xml:space="preserve"> The physical manufacturing and fabrication stage where designs are translated into tangible components.</w:t>
      </w:r>
    </w:p>
    <w:p w:rsidR="00000000" w:rsidDel="00000000" w:rsidP="00000000" w:rsidRDefault="00000000" w:rsidRPr="00000000" w14:paraId="00000032">
      <w:pPr>
        <w:numPr>
          <w:ilvl w:val="0"/>
          <w:numId w:val="5"/>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rFonts w:ascii="Palatino Linotype" w:cs="Palatino Linotype" w:eastAsia="Palatino Linotype" w:hAnsi="Palatino Linotype"/>
          <w:b w:val="1"/>
          <w:bCs w:val="1"/>
          <w:color w:val="1f1f1f"/>
          <w:sz w:val="24"/>
          <w:szCs w:val="24"/>
          <w:rtl w:val="0"/>
        </w:rPr>
        <w:t xml:space="preserve">Downstream (下游):</w:t>
      </w:r>
      <w:r w:rsidDel="00000000" w:rsidR="00000000" w:rsidRPr="00000000">
        <w:rPr>
          <w:rFonts w:ascii="Palatino Linotype" w:cs="Palatino Linotype" w:eastAsia="Palatino Linotype" w:hAnsi="Palatino Linotype"/>
          <w:color w:val="1f1f1f"/>
          <w:sz w:val="24"/>
          <w:szCs w:val="24"/>
          <w:rtl w:val="0"/>
        </w:rPr>
        <w:t xml:space="preserve"> The consumer-facing tier, involving brand integration, marketing, and final retail distribution.</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rFonts w:ascii="Palatino Linotype" w:cs="Palatino Linotype" w:eastAsia="Palatino Linotype" w:hAnsi="Palatino Linotype"/>
          <w:b w:val="1"/>
          <w:bCs w:val="1"/>
          <w:color w:val="1f1f1f"/>
          <w:sz w:val="24"/>
          <w:szCs w:val="24"/>
        </w:rPr>
      </w:pPr>
      <w:r w:rsidDel="00000000" w:rsidR="00000000" w:rsidRPr="00000000">
        <w:rPr>
          <w:rFonts w:ascii="Palatino Linotype" w:cs="Palatino Linotype" w:eastAsia="Palatino Linotype" w:hAnsi="Palatino Linotype"/>
          <w:b w:val="1"/>
          <w:bCs w:val="1"/>
          <w:color w:val="1f1f1f"/>
          <w:sz w:val="24"/>
          <w:szCs w:val="24"/>
          <w:rtl w:val="0"/>
        </w:rPr>
        <w:t xml:space="preserve">4.2 Operational Nodes: Design vs. Manufacturing</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20" w:lineRule="auto"/>
        <w:rPr>
          <w:rFonts w:ascii="Palatino Linotype" w:cs="Palatino Linotype" w:eastAsia="Palatino Linotype" w:hAnsi="Palatino Linotype"/>
          <w:color w:val="1f1f1f"/>
          <w:sz w:val="24"/>
          <w:szCs w:val="24"/>
        </w:rPr>
      </w:pPr>
      <w:r w:rsidDel="00000000" w:rsidR="00000000" w:rsidRPr="00000000">
        <w:rPr>
          <w:rFonts w:ascii="Palatino Linotype" w:cs="Palatino Linotype" w:eastAsia="Palatino Linotype" w:hAnsi="Palatino Linotype"/>
          <w:color w:val="1f1f1f"/>
          <w:sz w:val="24"/>
          <w:szCs w:val="24"/>
          <w:rtl w:val="0"/>
        </w:rPr>
        <w:t xml:space="preserve">The semiconductor case study highlights a decoupled supply chain where design and manufacturing are handled by entirely different entities, a structural nuance that must be identified in any focal company analysis.</w:t>
      </w:r>
    </w:p>
    <w:p w:rsidR="00000000" w:rsidDel="00000000" w:rsidP="00000000" w:rsidRDefault="00000000" w:rsidRPr="00000000" w14:paraId="0000003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Palatino Linotype" w:cs="Palatino Linotype" w:eastAsia="Palatino Linotype" w:hAnsi="Palatino Linotype"/>
          <w:b w:val="1"/>
          <w:bCs w:val="1"/>
          <w:color w:val="1f1f1f"/>
          <w:sz w:val="24"/>
          <w:szCs w:val="24"/>
          <w:rtl w:val="0"/>
        </w:rPr>
        <w:t xml:space="preserve">IC Design Houses (晶片設計):</w:t>
      </w:r>
      <w:r w:rsidDel="00000000" w:rsidR="00000000" w:rsidRPr="00000000">
        <w:rPr>
          <w:rFonts w:ascii="Palatino Linotype" w:cs="Palatino Linotype" w:eastAsia="Palatino Linotype" w:hAnsi="Palatino Linotype"/>
          <w:color w:val="1f1f1f"/>
          <w:sz w:val="24"/>
          <w:szCs w:val="24"/>
          <w:rtl w:val="0"/>
        </w:rPr>
        <w:t xml:space="preserve"> Positioned in the upstream sector. These firms (like MediaTek) are responsible for the intellectual property, architecture, and engineering of the integrated circuits. They do not manufacture the physical chips.</w:t>
      </w:r>
    </w:p>
    <w:p w:rsidR="00000000" w:rsidDel="00000000" w:rsidP="00000000" w:rsidRDefault="00000000" w:rsidRPr="00000000" w14:paraId="00000036">
      <w:pPr>
        <w:numPr>
          <w:ilvl w:val="0"/>
          <w:numId w:val="3"/>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rFonts w:ascii="Palatino Linotype" w:cs="Palatino Linotype" w:eastAsia="Palatino Linotype" w:hAnsi="Palatino Linotype"/>
          <w:b w:val="1"/>
          <w:bCs w:val="1"/>
          <w:color w:val="1f1f1f"/>
          <w:sz w:val="24"/>
          <w:szCs w:val="24"/>
          <w:rtl w:val="0"/>
        </w:rPr>
        <w:t xml:space="preserve">Foundry (晶圓廠):</w:t>
      </w:r>
      <w:r w:rsidDel="00000000" w:rsidR="00000000" w:rsidRPr="00000000">
        <w:rPr>
          <w:rFonts w:ascii="Palatino Linotype" w:cs="Palatino Linotype" w:eastAsia="Palatino Linotype" w:hAnsi="Palatino Linotype"/>
          <w:color w:val="1f1f1f"/>
          <w:sz w:val="24"/>
          <w:szCs w:val="24"/>
          <w:rtl w:val="0"/>
        </w:rPr>
        <w:t xml:space="preserve"> Positioned in the midstream sector. These are the physical chip manufactories. They receive the blueprints from the IC Design Houses and handle the capital-intensive process of silicon fabrication.</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rFonts w:ascii="Palatino Linotype" w:cs="Palatino Linotype" w:eastAsia="Palatino Linotype" w:hAnsi="Palatino Linotype"/>
          <w:b w:val="1"/>
          <w:bCs w:val="1"/>
          <w:color w:val="1f1f1f"/>
          <w:sz w:val="24"/>
          <w:szCs w:val="24"/>
        </w:rPr>
      </w:pPr>
      <w:r w:rsidDel="00000000" w:rsidR="00000000" w:rsidRPr="00000000">
        <w:rPr>
          <w:rFonts w:ascii="Palatino Linotype" w:cs="Palatino Linotype" w:eastAsia="Palatino Linotype" w:hAnsi="Palatino Linotype"/>
          <w:b w:val="1"/>
          <w:bCs w:val="1"/>
          <w:color w:val="1f1f1f"/>
          <w:sz w:val="24"/>
          <w:szCs w:val="24"/>
          <w:rtl w:val="0"/>
        </w:rPr>
        <w:t xml:space="preserve">4.3 Organizational Competency Framework (The K-S-A Model)</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120" w:lineRule="auto"/>
        <w:rPr>
          <w:rFonts w:ascii="Palatino Linotype" w:cs="Palatino Linotype" w:eastAsia="Palatino Linotype" w:hAnsi="Palatino Linotype"/>
          <w:color w:val="1f1f1f"/>
          <w:sz w:val="24"/>
          <w:szCs w:val="24"/>
        </w:rPr>
      </w:pPr>
      <w:r w:rsidDel="00000000" w:rsidR="00000000" w:rsidRPr="00000000">
        <w:rPr>
          <w:rFonts w:ascii="Palatino Linotype" w:cs="Palatino Linotype" w:eastAsia="Palatino Linotype" w:hAnsi="Palatino Linotype"/>
          <w:color w:val="1f1f1f"/>
          <w:sz w:val="24"/>
          <w:szCs w:val="24"/>
          <w:rtl w:val="0"/>
        </w:rPr>
        <w:t xml:space="preserve">Analyzing a firm requires understanding its human capital and the specific requirements dictated by its Job Descriptions (JD - 專業職務/工作說明). For highly technical upstream nodes like IC Design Houses, evaluating workforce capability is critical. The framework utilized for this analysis is the K-S-A model:</w:t>
      </w:r>
    </w:p>
    <w:p w:rsidR="00000000" w:rsidDel="00000000" w:rsidP="00000000" w:rsidRDefault="00000000" w:rsidRPr="00000000" w14:paraId="0000003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Palatino Linotype" w:cs="Palatino Linotype" w:eastAsia="Palatino Linotype" w:hAnsi="Palatino Linotype"/>
          <w:b w:val="1"/>
          <w:bCs w:val="1"/>
          <w:color w:val="1f1f1f"/>
          <w:sz w:val="24"/>
          <w:szCs w:val="24"/>
          <w:rtl w:val="0"/>
        </w:rPr>
        <w:t xml:space="preserve">K (Knowledge):</w:t>
      </w:r>
      <w:r w:rsidDel="00000000" w:rsidR="00000000" w:rsidRPr="00000000">
        <w:rPr>
          <w:rFonts w:ascii="Palatino Linotype" w:cs="Palatino Linotype" w:eastAsia="Palatino Linotype" w:hAnsi="Palatino Linotype"/>
          <w:color w:val="1f1f1f"/>
          <w:sz w:val="24"/>
          <w:szCs w:val="24"/>
          <w:rtl w:val="0"/>
        </w:rPr>
        <w:t xml:space="preserve"> The foundational, theoretical, and technical information required to perform the job (e.g., understanding of microarchitecture, physics, or electrical engineering principles).</w:t>
      </w:r>
    </w:p>
    <w:p w:rsidR="00000000" w:rsidDel="00000000" w:rsidP="00000000" w:rsidRDefault="00000000" w:rsidRPr="00000000" w14:paraId="0000003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Palatino Linotype" w:cs="Palatino Linotype" w:eastAsia="Palatino Linotype" w:hAnsi="Palatino Linotype"/>
          <w:b w:val="1"/>
          <w:bCs w:val="1"/>
          <w:color w:val="1f1f1f"/>
          <w:sz w:val="24"/>
          <w:szCs w:val="24"/>
          <w:rtl w:val="0"/>
        </w:rPr>
        <w:t xml:space="preserve">S (Skill):</w:t>
      </w:r>
      <w:r w:rsidDel="00000000" w:rsidR="00000000" w:rsidRPr="00000000">
        <w:rPr>
          <w:rFonts w:ascii="Palatino Linotype" w:cs="Palatino Linotype" w:eastAsia="Palatino Linotype" w:hAnsi="Palatino Linotype"/>
          <w:color w:val="1f1f1f"/>
          <w:sz w:val="24"/>
          <w:szCs w:val="24"/>
          <w:rtl w:val="0"/>
        </w:rPr>
        <w:t xml:space="preserve"> The practical, demonstrable abilities to apply knowledge to specific tasks (e.g., proficiency in specific coding languages, hardware simulation tools, or project management software).</w:t>
      </w:r>
    </w:p>
    <w:p w:rsidR="00000000" w:rsidDel="00000000" w:rsidP="00000000" w:rsidRDefault="00000000" w:rsidRPr="00000000" w14:paraId="0000003B">
      <w:pPr>
        <w:numPr>
          <w:ilvl w:val="0"/>
          <w:numId w:val="2"/>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rFonts w:ascii="Palatino Linotype" w:cs="Palatino Linotype" w:eastAsia="Palatino Linotype" w:hAnsi="Palatino Linotype"/>
          <w:b w:val="1"/>
          <w:bCs w:val="1"/>
          <w:color w:val="1f1f1f"/>
          <w:sz w:val="24"/>
          <w:szCs w:val="24"/>
          <w:rtl w:val="0"/>
        </w:rPr>
        <w:t xml:space="preserve">A (Attitude):</w:t>
      </w:r>
      <w:r w:rsidDel="00000000" w:rsidR="00000000" w:rsidRPr="00000000">
        <w:rPr>
          <w:rFonts w:ascii="Palatino Linotype" w:cs="Palatino Linotype" w:eastAsia="Palatino Linotype" w:hAnsi="Palatino Linotype"/>
          <w:color w:val="1f1f1f"/>
          <w:sz w:val="24"/>
          <w:szCs w:val="24"/>
          <w:rtl w:val="0"/>
        </w:rPr>
        <w:t xml:space="preserve"> The behavioral and interpersonal traits necessary for the role and corporate culture (e.g., problem-solving resilience, teamwork in high-stress environments, or meticulous attention to detail).</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rFonts w:ascii="Palatino Linotype" w:cs="Palatino Linotype" w:eastAsia="Palatino Linotype" w:hAnsi="Palatino Linotype"/>
          <w:b w:val="1"/>
          <w:bCs w:val="1"/>
          <w:color w:val="1f1f1f"/>
          <w:sz w:val="24"/>
          <w:szCs w:val="24"/>
        </w:rPr>
      </w:pPr>
      <w:r w:rsidDel="00000000" w:rsidR="00000000" w:rsidRPr="00000000">
        <w:rPr>
          <w:rFonts w:ascii="Palatino Linotype" w:cs="Palatino Linotype" w:eastAsia="Palatino Linotype" w:hAnsi="Palatino Linotype"/>
          <w:b w:val="1"/>
          <w:bCs w:val="1"/>
          <w:color w:val="1f1f1f"/>
          <w:sz w:val="24"/>
          <w:szCs w:val="24"/>
          <w:rtl w:val="0"/>
        </w:rPr>
        <w:t xml:space="preserve">4.4 Value Chain Realization and Downstream Integration</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120" w:lineRule="auto"/>
        <w:rPr>
          <w:rFonts w:ascii="Palatino Linotype" w:cs="Palatino Linotype" w:eastAsia="Palatino Linotype" w:hAnsi="Palatino Linotype"/>
          <w:color w:val="1f1f1f"/>
          <w:sz w:val="24"/>
          <w:szCs w:val="24"/>
        </w:rPr>
      </w:pPr>
      <w:r w:rsidDel="00000000" w:rsidR="00000000" w:rsidRPr="00000000">
        <w:rPr>
          <w:rFonts w:ascii="Palatino Linotype" w:cs="Palatino Linotype" w:eastAsia="Palatino Linotype" w:hAnsi="Palatino Linotype"/>
          <w:color w:val="1f1f1f"/>
          <w:sz w:val="24"/>
          <w:szCs w:val="24"/>
          <w:rtl w:val="0"/>
        </w:rPr>
        <w:t xml:space="preserve">The final phase of the process flow is the transaction and integration between the midstream manufacturers and the downstream consumer brands.</w:t>
      </w:r>
    </w:p>
    <w:p w:rsidR="00000000" w:rsidDel="00000000" w:rsidP="00000000" w:rsidRDefault="00000000" w:rsidRPr="00000000" w14:paraId="0000003E">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Palatino Linotype" w:cs="Palatino Linotype" w:eastAsia="Palatino Linotype" w:hAnsi="Palatino Linotype"/>
          <w:b w:val="1"/>
          <w:bCs w:val="1"/>
          <w:color w:val="1f1f1f"/>
          <w:sz w:val="24"/>
          <w:szCs w:val="24"/>
          <w:rtl w:val="0"/>
        </w:rPr>
        <w:t xml:space="preserve">B2B Transaction ("Sold To"):</w:t>
      </w:r>
      <w:r w:rsidDel="00000000" w:rsidR="00000000" w:rsidRPr="00000000">
        <w:rPr>
          <w:rFonts w:ascii="Palatino Linotype" w:cs="Palatino Linotype" w:eastAsia="Palatino Linotype" w:hAnsi="Palatino Linotype"/>
          <w:color w:val="1f1f1f"/>
          <w:sz w:val="24"/>
          <w:szCs w:val="24"/>
          <w:rtl w:val="0"/>
        </w:rPr>
        <w:t xml:space="preserve"> Once the Foundry has manufactured the physical chips based on the IC Design House's specifications, the components are sold to downstream integrators.</w:t>
      </w:r>
    </w:p>
    <w:p w:rsidR="00000000" w:rsidDel="00000000" w:rsidP="00000000" w:rsidRDefault="00000000" w:rsidRPr="00000000" w14:paraId="0000003F">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Palatino Linotype" w:cs="Palatino Linotype" w:eastAsia="Palatino Linotype" w:hAnsi="Palatino Linotype"/>
          <w:b w:val="1"/>
          <w:bCs w:val="1"/>
          <w:color w:val="1f1f1f"/>
          <w:sz w:val="24"/>
          <w:szCs w:val="24"/>
          <w:rtl w:val="0"/>
        </w:rPr>
        <w:t xml:space="preserve">Smartphone Brands:</w:t>
      </w:r>
      <w:r w:rsidDel="00000000" w:rsidR="00000000" w:rsidRPr="00000000">
        <w:rPr>
          <w:rFonts w:ascii="Palatino Linotype" w:cs="Palatino Linotype" w:eastAsia="Palatino Linotype" w:hAnsi="Palatino Linotype"/>
          <w:color w:val="1f1f1f"/>
          <w:sz w:val="24"/>
          <w:szCs w:val="24"/>
          <w:rtl w:val="0"/>
        </w:rPr>
        <w:t xml:space="preserve"> These downstream entities act as the final focal companies that integrate the semiconductor components into consumer-ready devices. They manage the final assembly, operating system integration, branding, and retail distribution.</w:t>
      </w:r>
    </w:p>
    <w:p w:rsidR="00000000" w:rsidDel="00000000" w:rsidP="00000000" w:rsidRDefault="00000000" w:rsidRPr="00000000" w14:paraId="00000040">
      <w:pPr>
        <w:numPr>
          <w:ilvl w:val="0"/>
          <w:numId w:val="7"/>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rFonts w:ascii="Palatino Linotype" w:cs="Palatino Linotype" w:eastAsia="Palatino Linotype" w:hAnsi="Palatino Linotype"/>
          <w:b w:val="1"/>
          <w:bCs w:val="1"/>
          <w:color w:val="1f1f1f"/>
          <w:sz w:val="24"/>
          <w:szCs w:val="24"/>
          <w:rtl w:val="0"/>
        </w:rPr>
        <w:t xml:space="preserve">Case Study Examples:</w:t>
      </w:r>
      <w:r w:rsidDel="00000000" w:rsidR="00000000" w:rsidRPr="00000000">
        <w:rPr>
          <w:rFonts w:ascii="Palatino Linotype" w:cs="Palatino Linotype" w:eastAsia="Palatino Linotype" w:hAnsi="Palatino Linotype"/>
          <w:color w:val="1f1f1f"/>
          <w:sz w:val="24"/>
          <w:szCs w:val="24"/>
          <w:rtl w:val="0"/>
        </w:rPr>
        <w:t xml:space="preserve"> Samsung, Huawei, and Asus.</w:t>
      </w:r>
    </w:p>
    <w:p w:rsidR="00000000" w:rsidDel="00000000" w:rsidP="00000000" w:rsidRDefault="00000000" w:rsidRPr="00000000" w14:paraId="00000041">
      <w:pPr>
        <w:rPr>
          <w:rFonts w:ascii="Palatino Linotype" w:cs="Palatino Linotype" w:eastAsia="Palatino Linotype" w:hAnsi="Palatino Linotyp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Palatino Linotype" w:cs="Palatino Linotype" w:eastAsia="Palatino Linotype" w:hAnsi="Palatino Linotype"/>
          <w:b w:val="1"/>
          <w:bCs w:val="1"/>
          <w:color w:val="1f1f1f"/>
        </w:rPr>
      </w:pPr>
      <w:bookmarkStart w:colFirst="0" w:colLast="0" w:name="_td5e2qqoy7kn" w:id="6"/>
      <w:bookmarkEnd w:id="6"/>
      <w:r w:rsidDel="00000000" w:rsidR="00000000" w:rsidRPr="00000000">
        <w:rPr>
          <w:rFonts w:ascii="Palatino Linotype" w:cs="Palatino Linotype" w:eastAsia="Palatino Linotype" w:hAnsi="Palatino Linotype"/>
          <w:b w:val="1"/>
          <w:bCs w:val="1"/>
          <w:color w:val="1f1f1f"/>
          <w:rtl w:val="0"/>
        </w:rPr>
        <w:t xml:space="preserve">Conclusion</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color w:val="1f1f1f"/>
          <w:sz w:val="24"/>
          <w:szCs w:val="24"/>
          <w:rtl w:val="0"/>
        </w:rPr>
        <w:t xml:space="preserve">This structured breakdown of the September 3rd lecture notes provides a clear roadmap for executing the SMMC Team Project. By adhering to the </w:t>
      </w:r>
      <w:r w:rsidDel="00000000" w:rsidR="00000000" w:rsidRPr="00000000">
        <w:rPr>
          <w:rFonts w:ascii="Palatino Linotype" w:cs="Palatino Linotype" w:eastAsia="Palatino Linotype" w:hAnsi="Palatino Linotype"/>
          <w:color w:val="444746"/>
          <w:sz w:val="24"/>
          <w:szCs w:val="24"/>
          <w:shd w:fill="e9eef6" w:val="clear"/>
          <w:rtl w:val="0"/>
        </w:rPr>
        <w:t xml:space="preserve">.html</w:t>
      </w:r>
      <w:r w:rsidDel="00000000" w:rsidR="00000000" w:rsidRPr="00000000">
        <w:rPr>
          <w:rFonts w:ascii="Palatino Linotype" w:cs="Palatino Linotype" w:eastAsia="Palatino Linotype" w:hAnsi="Palatino Linotype"/>
          <w:color w:val="1f1f1f"/>
          <w:sz w:val="24"/>
          <w:szCs w:val="24"/>
          <w:rtl w:val="0"/>
        </w:rPr>
        <w:t xml:space="preserve"> SPA constraints, following the Tp0 to Tp Final milestone timeline, and applying the rigorous analytical frameworks demonstrated in the semiconductor case study (Supply Chain Mapping, Scope Definition, and the K-S-A Competency Model), teams can conduct a highly systematic analysis of their chosen focal company.</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