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icrosoft YaHei" w:hAnsi="Microsoft YaHei" w:eastAsia="Microsoft YaHei"/>
          <w:b/>
          <w:color w:val="C56A3D"/>
          <w:sz w:val="18"/>
        </w:rPr>
        <w:t>SCENE PACKAGE  /  sc_rain  /  timeline v6</w:t>
      </w:r>
    </w:p>
    <w:p>
      <w:pPr>
        <w:spacing w:after="80"/>
      </w:pPr>
      <w:r>
        <w:rPr>
          <w:rFonts w:ascii="Microsoft YaHei" w:hAnsi="Microsoft YaHei" w:eastAsia="Microsoft YaHei"/>
          <w:b/>
          <w:color w:val="303A43"/>
          <w:sz w:val="40"/>
        </w:rPr>
        <w:t>檐下听雨：场景时间戳与素材清单</w:t>
      </w:r>
    </w:p>
    <w:p>
      <w:pPr>
        <w:spacing w:after="200"/>
      </w:pPr>
      <w:r>
        <w:rPr>
          <w:rFonts w:ascii="Microsoft YaHei" w:hAnsi="Microsoft YaHei" w:eastAsia="Microsoft YaHei"/>
          <w:b w:val="0"/>
          <w:color w:val="6A737B"/>
          <w:sz w:val="20"/>
        </w:rPr>
        <w:t>手机外放优先｜10分20秒｜无文本、无人声、低变化环境预设｜工程真相源：scene/timeline.json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c>
          <w:tcPr>
            <w:tcW w:type="dxa" w:w="9977"/>
            <w:shd w:fill="F6F1E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03A43"/>
                <w:sz w:val="19"/>
              </w:rPr>
              <w:t>本版按“一个场景一个素材包”整理。A01–A04 已替换为实际处理后的 v02 推荐母带；Word 用于审阅，后端必须以 timeline.json 与 tracks.csv 执行。当前可用于复赛演示，正式上架前仍需完成整场实机试听。</w:t>
            </w:r>
          </w:p>
        </w:tc>
      </w:tr>
    </w:tbl>
    <w:p>
      <w:pPr>
        <w:spacing w:after="20"/>
      </w:pPr>
    </w:p>
    <w:p>
      <w:pPr>
        <w:pStyle w:val="Heading1"/>
      </w:pPr>
      <w:r>
        <w:t>1. 场景定义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目标听感：用户位于室内檐下，先听到稳定远雨，再逐渐感到近处檐雨；竹叶雨只补充纹理，远风只出现两次。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禁止元素：人声、文本、音乐、雷声、鸟叫、突发高频刺激和快速绕头。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主次关系：A02 近檐雨是主环境，A01 远雨持续承托，A03 与 A04 只能作为细节和变化。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空间距离只由播放端位置与衰减控制，不通过继续拉大或压低母带响度制造远近。</w:t>
      </w:r>
    </w:p>
    <w:p>
      <w:pPr>
        <w:pStyle w:val="Heading1"/>
      </w:pPr>
      <w:r>
        <w:t>2. 时间戳协同表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1190"/>
        <w:gridCol w:w="1700"/>
        <w:gridCol w:w="3571"/>
        <w:gridCol w:w="3514"/>
      </w:tblGrid>
      <w:tr>
        <w:trPr>
          <w:tblHeader w:val="true"/>
        </w:trPr>
        <w:tc>
          <w:tcPr>
            <w:tcW w:type="dxa" w:w="1190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1700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571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轨道与空间层次</w:t>
            </w:r>
          </w:p>
        </w:tc>
        <w:tc>
          <w:tcPr>
            <w:tcW w:type="dxa" w:w="3514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工程执行参数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0:00–0:30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远雨建立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A01 在左前远处(-0.35, 0.85)建立，作为稳定空间锚点。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volume 0→0.22，淡入30s；loop；crossfade 1000ms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0:30–1:30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近檐雨靠近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A02 从右侧较远(0.70, 0.62)缓慢靠近右前方(0.50, 0.45)。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位置连续插值60s；volume 0→0.40，淡入8s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1:30–3:00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双层雨稳定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A02 继续缓慢到(0.42, 0.40)；A01固定，避免全场漂移。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A01/A02独立循环；引擎分别处理接缝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3:00–3:20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第一次远风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A04a 从左后(-2.40, 0.95)掠向左侧(-1.60, 0.98)并退出。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4个位置关键帧；8s淡入、4s维持、8s淡出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3:20–5:30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竹叶雨靠近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A03于3:40从左侧远处(-1.20, 0.88)进入，4:40到(-0.95, 0.70)。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A03淡入10s；位置连续插值60s；crossfade 800ms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5:30–6:00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主雨略靠近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A02在5:30到(0.35, 0.32)，随雨势增强靠近；6:00退回(0.45, 0.42)。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A02 0.40→0.46→0.40；位置与音量分别插值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6:00–7:30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竹叶缓慢后移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A03在6:20到左前(-0.80, 0.64)，7:20移向左后(-1.10, 0.76)。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单次位移持续60s；其余轨道保持低变化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7:30–7:50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第二次远风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A04b从右后(2.55, 0.96)靠近后回到更远右后(2.80, 0.99)。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4个位置关键帧；8s淡入、4s维持、8s淡出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7:50–9:20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雨声向外退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A02逐渐退向右侧远处；A03经(-1.35, 0.86)退至(-1.45, 0.95)。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A03 8:40淡出、8:50停；A02 9:10淡出、9:20停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9:20–10:20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远雨后退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A01由(-0.20, 0.92)缓慢退至正前最远(0.00, 0.98)。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A01 0.22→0，位置与音量均插值60s；10:20停止</w:t>
            </w:r>
          </w:p>
        </w:tc>
      </w:tr>
    </w:tbl>
    <w:p>
      <w:pPr>
        <w:spacing w:after="20"/>
      </w:pPr>
    </w:p>
    <w:p>
      <w:pPr>
        <w:pStyle w:val="Heading1"/>
      </w:pPr>
      <w:r>
        <w:t>3. 空间位置关键帧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1133"/>
        <w:gridCol w:w="1190"/>
        <w:gridCol w:w="1530"/>
        <w:gridCol w:w="1360"/>
        <w:gridCol w:w="4762"/>
      </w:tblGrid>
      <w:tr>
        <w:trPr>
          <w:tblHeader w:val="true"/>
        </w:trPr>
        <w:tc>
          <w:tcPr>
            <w:tcW w:type="dxa" w:w="1133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声源</w:t>
            </w:r>
          </w:p>
        </w:tc>
        <w:tc>
          <w:tcPr>
            <w:tcW w:type="dxa" w:w="1190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时间</w:t>
            </w:r>
          </w:p>
        </w:tc>
        <w:tc>
          <w:tcPr>
            <w:tcW w:type="dxa" w:w="1530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angle(rad)</w:t>
            </w:r>
          </w:p>
        </w:tc>
        <w:tc>
          <w:tcPr>
            <w:tcW w:type="dxa" w:w="1360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radius</w:t>
            </w:r>
          </w:p>
        </w:tc>
        <w:tc>
          <w:tcPr>
            <w:tcW w:type="dxa" w:w="4762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位置与移动说明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A01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0:00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-0.35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0.85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左前方远处建立；保持至8:00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A01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8:00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-0.35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0.85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稳定锚点，开始准备退出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A01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9:20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-0.20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0.92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向正前更远处后退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A01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10:20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0.00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0.98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到达最远处并淡出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A02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0:30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0.70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0.62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右侧较远位置进入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A02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1:30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0.50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0.45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60秒缓慢靠近右前方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A02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3:00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0.42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0.40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稳定成为主环境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A02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5:30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0.35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0.32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雨势增强时稍微靠近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A02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6:00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0.45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0.42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30秒内退回稳定位置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A02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7:50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0.55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0.48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开始向右侧远离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A02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9:10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0.75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0.68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退至右侧远处并开始淡出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A02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9:20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0.82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0.80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远离后停止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A03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3:40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-1.20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0.88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左侧远处淡入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A03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4:40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-0.95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0.70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60秒缓慢靠近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A03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6:20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-0.80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0.64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到达左前方细节位置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A03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7:20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-1.10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0.76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移向左后方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A03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8:20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-1.35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0.86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逐渐远离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A03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8:50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-1.45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0.95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最远处淡出并停止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A04a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3:00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-2.40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0.95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左后远处出现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A04a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3:08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-2.05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0.82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8秒内向左侧靠近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A04a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3:16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-1.75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0.90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从左侧掠过并远离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A04a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3:20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-1.60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0.98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淡出停止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A04b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7:30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2.55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0.96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右后远处出现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A04b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7:38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2.25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0.86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8秒内轻微靠近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A04b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7:46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2.65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0.94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回到右后方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A04b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7:50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2.80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0.99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更远处淡出停止</w:t>
            </w:r>
          </w:p>
        </w:tc>
      </w:tr>
    </w:tbl>
    <w:p>
      <w:pPr>
        <w:spacing w:after="20"/>
      </w:pP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c>
          <w:tcPr>
            <w:tcW w:type="dxa" w:w="9977"/>
            <w:shd w:fill="EDF3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03A43"/>
                <w:sz w:val="19"/>
              </w:rPr>
              <w:t>相邻位置关键帧之间连续插值，不允许跳变。主雨声单次移动通常持续30–60秒，风声至少8秒；移动路径不得穿过左右耳禁行区域。volume与空间距离分开控制，手机外放验证远近层次，耳机验证方向变化。</w:t>
            </w:r>
          </w:p>
        </w:tc>
      </w:tr>
    </w:tbl>
    <w:p>
      <w:pPr>
        <w:spacing w:after="20"/>
      </w:pPr>
    </w:p>
    <w:p>
      <w:pPr>
        <w:pStyle w:val="Heading1"/>
      </w:pPr>
      <w:r>
        <w:t>4. 素材引用与状态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081"/>
        <w:gridCol w:w="1870"/>
        <w:gridCol w:w="2267"/>
      </w:tblGrid>
      <w:tr>
        <w:trPr>
          <w:tblHeader w:val="true"/>
        </w:trPr>
        <w:tc>
          <w:tcPr>
            <w:tcW w:type="dxa" w:w="1757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代号 / 资源键</w:t>
            </w:r>
          </w:p>
        </w:tc>
        <w:tc>
          <w:tcPr>
            <w:tcW w:type="dxa" w:w="4081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推荐母带</w:t>
            </w:r>
          </w:p>
        </w:tc>
        <w:tc>
          <w:tcPr>
            <w:tcW w:type="dxa" w:w="1870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实测指标</w:t>
            </w:r>
          </w:p>
        </w:tc>
        <w:tc>
          <w:tcPr>
            <w:tcW w:type="dxa" w:w="2267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时间线用途 / 状态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A01</w:t>
              <w:br/>
              <w:t>rain_soft</w:t>
            </w:r>
          </w:p>
        </w:tc>
        <w:tc>
          <w:tcPr>
            <w:tcW w:type="dxa" w:w="40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dw_official_env_rain_soft_loop_sc_rain_far_v02_t01.wav</w:t>
            </w:r>
          </w:p>
        </w:tc>
        <w:tc>
          <w:tcPr>
            <w:tcW w:type="dxa" w:w="187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11.596s</w:t>
              <w:br/>
              <w:t>-25.00 LUFS</w:t>
              <w:br/>
              <w:t>-6.70 dBTP</w:t>
            </w:r>
          </w:p>
        </w:tc>
        <w:tc>
          <w:tcPr>
            <w:tcW w:type="dxa" w:w="2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0:00–10:20 底层</w:t>
              <w:br/>
              <w:t>qc_pending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A02</w:t>
              <w:br/>
              <w:t>rain_parasol</w:t>
            </w:r>
          </w:p>
        </w:tc>
        <w:tc>
          <w:tcPr>
            <w:tcW w:type="dxa" w:w="40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dw_official_amb_rain_parasol_loop_sc_rain_near_v02_t01.wav</w:t>
            </w:r>
          </w:p>
        </w:tc>
        <w:tc>
          <w:tcPr>
            <w:tcW w:type="dxa" w:w="187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6.050s</w:t>
              <w:br/>
              <w:t>-25.18 LUFS</w:t>
              <w:br/>
              <w:t>-3.07 dBTP</w:t>
            </w:r>
          </w:p>
        </w:tc>
        <w:tc>
          <w:tcPr>
            <w:tcW w:type="dxa" w:w="2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0:30–9:20 主环境</w:t>
              <w:br/>
              <w:t>qc_pending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A03</w:t>
              <w:br/>
              <w:t>rain_bamboo_leaf</w:t>
            </w:r>
          </w:p>
        </w:tc>
        <w:tc>
          <w:tcPr>
            <w:tcW w:type="dxa" w:w="40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dw_official_amb_rain_bamboo_leaf_loop_sc_rain_soft_v02_t01.wav</w:t>
            </w:r>
          </w:p>
        </w:tc>
        <w:tc>
          <w:tcPr>
            <w:tcW w:type="dxa" w:w="187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6.050s</w:t>
              <w:br/>
              <w:t>-23.52 LUFS</w:t>
              <w:br/>
              <w:t>-6.19 dBTP</w:t>
            </w:r>
          </w:p>
        </w:tc>
        <w:tc>
          <w:tcPr>
            <w:tcW w:type="dxa" w:w="2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3:40–8:50 细节层</w:t>
              <w:br/>
              <w:t>qc_pending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A04</w:t>
              <w:br/>
              <w:t>wind_realistic</w:t>
            </w:r>
          </w:p>
        </w:tc>
        <w:tc>
          <w:tcPr>
            <w:tcW w:type="dxa" w:w="40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dw_official_env_wind_realistic_loop_sc_rain_far_v02_t01.wav</w:t>
            </w:r>
          </w:p>
        </w:tc>
        <w:tc>
          <w:tcPr>
            <w:tcW w:type="dxa" w:w="187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11.570s</w:t>
              <w:br/>
              <w:t>-26.01 LUFS</w:t>
              <w:br/>
              <w:t>-8.17 dBTP</w:t>
            </w:r>
          </w:p>
        </w:tc>
        <w:tc>
          <w:tcPr>
            <w:tcW w:type="dxa" w:w="2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3:00与7:30各20s</w:t>
              <w:br/>
              <w:t>qc_pending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/>
          <w:color w:val="C56A3D"/>
          <w:sz w:val="18"/>
        </w:rPr>
        <w:t>说明：</w:t>
      </w:r>
      <w:r>
        <w:rPr>
          <w:rFonts w:ascii="Microsoft YaHei" w:hAnsi="Microsoft YaHei" w:eastAsia="Microsoft YaHei"/>
          <w:b w:val="0"/>
          <w:color w:val="303A43"/>
          <w:sz w:val="18"/>
        </w:rPr>
        <w:t>t02 放在 alternatives/ 供 A/B 试听；t03 放在 demo/ 供复赛和长时试听。正式 timeline 只引用 master/ 中的 t01。</w:t>
      </w:r>
    </w:p>
    <w:p>
      <w:pPr>
        <w:pStyle w:val="Heading1"/>
      </w:pPr>
      <w:r>
        <w:t>5. 循环与交叉淡化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020"/>
        <w:gridCol w:w="2267"/>
        <w:gridCol w:w="1360"/>
        <w:gridCol w:w="4081"/>
      </w:tblGrid>
      <w:tr>
        <w:trPr>
          <w:tblHeader w:val="true"/>
        </w:trPr>
        <w:tc>
          <w:tcPr>
            <w:tcW w:type="dxa" w:w="1247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轨道</w:t>
            </w:r>
          </w:p>
        </w:tc>
        <w:tc>
          <w:tcPr>
            <w:tcW w:type="dxa" w:w="1020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loop</w:t>
            </w:r>
          </w:p>
        </w:tc>
        <w:tc>
          <w:tcPr>
            <w:tcW w:type="dxa" w:w="2267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需引擎交叉淡化</w:t>
            </w:r>
          </w:p>
        </w:tc>
        <w:tc>
          <w:tcPr>
            <w:tcW w:type="dxa" w:w="1360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crossfade_ms</w:t>
            </w:r>
          </w:p>
        </w:tc>
        <w:tc>
          <w:tcPr>
            <w:tcW w:type="dxa" w:w="4081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执行说明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A01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true</w:t>
            </w:r>
          </w:p>
        </w:tc>
        <w:tc>
          <w:tcPr>
            <w:tcW w:type="dxa" w:w="2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true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1000ms</w:t>
            </w:r>
          </w:p>
        </w:tc>
        <w:tc>
          <w:tcPr>
            <w:tcW w:type="dxa" w:w="40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短母带在0:00–10:20内循环；最后60s做外层淡出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A02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true</w:t>
            </w:r>
          </w:p>
        </w:tc>
        <w:tc>
          <w:tcPr>
            <w:tcW w:type="dxa" w:w="2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true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1200ms</w:t>
            </w:r>
          </w:p>
        </w:tc>
        <w:tc>
          <w:tcPr>
            <w:tcW w:type="dxa" w:w="40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短母带在0:30–9:20内循环；9:10起淡出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A03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true</w:t>
            </w:r>
          </w:p>
        </w:tc>
        <w:tc>
          <w:tcPr>
            <w:tcW w:type="dxa" w:w="2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true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800ms</w:t>
            </w:r>
          </w:p>
        </w:tc>
        <w:tc>
          <w:tcPr>
            <w:tcW w:type="dxa" w:w="40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3:40延后进入；8:40起淡出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A04a / A04b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true</w:t>
            </w:r>
          </w:p>
        </w:tc>
        <w:tc>
          <w:tcPr>
            <w:tcW w:type="dxa" w:w="2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true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1000ms</w:t>
            </w:r>
          </w:p>
        </w:tc>
        <w:tc>
          <w:tcPr>
            <w:tcW w:type="dxa" w:w="40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同一资源建立两个track_id，分别从头播放20s</w:t>
            </w:r>
          </w:p>
        </w:tc>
      </w:tr>
    </w:tbl>
    <w:p>
      <w:pPr>
        <w:spacing w:after="20"/>
      </w:pP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c>
          <w:tcPr>
            <w:tcW w:type="dxa" w:w="9977"/>
            <w:shd w:fill="EDF3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03A43"/>
                <w:sz w:val="19"/>
              </w:rPr>
              <w:t>crossfade_ms 只处理每一轮母带的循环接缝；时间线里的 8–60 秒淡入淡出负责轨道进入和退出。两者不能互相替代。播放端不支持工程交叉淡化时，应改用 demo/ 中预渲染长版或阻止正式入库，不能静默硬循环。</w:t>
            </w:r>
          </w:p>
        </w:tc>
      </w:tr>
    </w:tbl>
    <w:p>
      <w:pPr>
        <w:spacing w:after="20"/>
      </w:pPr>
    </w:p>
    <w:p>
      <w:pPr>
        <w:pStyle w:val="Heading1"/>
      </w:pPr>
      <w:r>
        <w:t>6. 场景素材包交付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308"/>
        <w:gridCol w:w="3855"/>
      </w:tblGrid>
      <w:tr>
        <w:trPr>
          <w:tblHeader w:val="true"/>
        </w:trPr>
        <w:tc>
          <w:tcPr>
            <w:tcW w:type="dxa" w:w="1814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目录</w:t>
            </w:r>
          </w:p>
        </w:tc>
        <w:tc>
          <w:tcPr>
            <w:tcW w:type="dxa" w:w="4308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包含内容</w:t>
            </w:r>
          </w:p>
        </w:tc>
        <w:tc>
          <w:tcPr>
            <w:tcW w:type="dxa" w:w="3855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scene/</w:t>
            </w:r>
          </w:p>
        </w:tc>
        <w:tc>
          <w:tcPr>
            <w:tcW w:type="dxa" w:w="4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scene_manifest.json、timeline.json、tracks.csv、source_map.csv</w:t>
            </w:r>
          </w:p>
        </w:tc>
        <w:tc>
          <w:tcPr>
            <w:tcW w:type="dxa" w:w="38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后端和数据导入；timeline.json 是执行真相源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audio/master/</w:t>
            </w:r>
          </w:p>
        </w:tc>
        <w:tc>
          <w:tcPr>
            <w:tcW w:type="dxa" w:w="4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A01–A04 的 v02_t01</w:t>
            </w:r>
          </w:p>
        </w:tc>
        <w:tc>
          <w:tcPr>
            <w:tcW w:type="dxa" w:w="38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时间线正式引用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audio/alternatives/</w:t>
            </w:r>
          </w:p>
        </w:tc>
        <w:tc>
          <w:tcPr>
            <w:tcW w:type="dxa" w:w="4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A01–A03 的 t02</w:t>
            </w:r>
          </w:p>
        </w:tc>
        <w:tc>
          <w:tcPr>
            <w:tcW w:type="dxa" w:w="38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A/B 试听，不得同时进入正式时间线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audio/demo/</w:t>
            </w:r>
          </w:p>
        </w:tc>
        <w:tc>
          <w:tcPr>
            <w:tcW w:type="dxa" w:w="4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A01–A04 的 t03 长版</w:t>
            </w:r>
          </w:p>
        </w:tc>
        <w:tc>
          <w:tcPr>
            <w:tcW w:type="dxa" w:w="38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复赛、录屏或长时试听；不自动获得 master 状态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qc/</w:t>
            </w:r>
          </w:p>
        </w:tc>
        <w:tc>
          <w:tcPr>
            <w:tcW w:type="dxa" w:w="4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asset_qc.csv、scene_acceptance.md、单轨报告</w:t>
            </w:r>
          </w:p>
        </w:tc>
        <w:tc>
          <w:tcPr>
            <w:tcW w:type="dxa" w:w="38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自动指标和人工试听记录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licenses/</w:t>
            </w:r>
          </w:p>
        </w:tc>
        <w:tc>
          <w:tcPr>
            <w:tcW w:type="dxa" w:w="4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license_manifest.csv</w:t>
            </w:r>
          </w:p>
        </w:tc>
        <w:tc>
          <w:tcPr>
            <w:tcW w:type="dxa" w:w="38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来源、用途、导出限制与归档状态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content/</w:t>
            </w:r>
          </w:p>
        </w:tc>
        <w:tc>
          <w:tcPr>
            <w:tcW w:type="dxa" w:w="4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空 phrases.csv、voice_bindings.csv</w:t>
            </w:r>
          </w:p>
        </w:tc>
        <w:tc>
          <w:tcPr>
            <w:tcW w:type="dxa" w:w="38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明确本场景无人声、无文本，不是漏交</w:t>
            </w:r>
          </w:p>
        </w:tc>
      </w:tr>
    </w:tbl>
    <w:p>
      <w:pPr>
        <w:spacing w:after="20"/>
      </w:pPr>
    </w:p>
    <w:p>
      <w:pPr>
        <w:pStyle w:val="Heading1"/>
      </w:pPr>
      <w:r>
        <w:t>7. 验收与发布门禁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□ 四条 t01 分别连续循环至少2分钟，接缝无断点、鼓包、掉音或明显周期感。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□ 手机外放确认 A02 是主环境但不刺耳，A01 稳定，A03 与 A04 不抢注意。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□ 耳机确认空间方向和距离自然；拖动远近保持同一 volume，只改变位置与衰减。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□ 整场关键节点无硬切；离线可播放，单轨资源丢失时其余轨道仍运行。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□ 全部通过后，资产由 qc_pending 升为 master，scene_manifest.release_ready 才能改为 true。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879" w:bottom="879" w:left="87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A737B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6A737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/>
        <w:color w:val="6A737B"/>
        <w:sz w:val="16"/>
      </w:rPr>
      <w:t>DREAMWEAVER  |  内部声音制作稿 · v6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03A4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C56A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B7FA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