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color w:val="000000"/>
        </w:rPr>
      </w:pPr>
      <w:r>
        <w:rPr>
          <w:b/>
          <w:color w:val="000000"/>
          <w:sz w:val="42"/>
        </w:rPr>
        <w:t>COMPREHENSIVE ARCHITECTURAL EVOLUTION &amp; DESIGN VERIFICATION REPORT (REV 3.6 / REV 2.3)</w:t>
      </w:r>
    </w:p>
    <w:p>
      <w:pPr>
        <w:pStyle w:val="Normal"/>
        <w:spacing w:before="0" w:after="360"/>
        <w:jc w:val="center"/>
        <w:rPr>
          <w:color w:val="000000"/>
        </w:rPr>
      </w:pPr>
      <w:r>
        <w:rPr>
          <w:i/>
          <w:color w:val="000000"/>
          <w:sz w:val="24"/>
        </w:rPr>
        <w:t>OpenMycoNet Environmental Telemetry &amp; Bioelectrical Sensing Platform</w:t>
      </w:r>
    </w:p>
    <w:p>
      <w:pPr>
        <w:pStyle w:val="Normal"/>
        <w:spacing w:before="0" w:after="80"/>
        <w:rPr>
          <w:color w:val="000000"/>
        </w:rPr>
      </w:pPr>
      <w:r>
        <w:rPr>
          <w:b/>
          <w:color w:val="000000"/>
        </w:rPr>
        <w:t xml:space="preserve">Comparison Target: </w:t>
      </w:r>
      <w:r>
        <w:rPr>
          <w:color w:val="000000"/>
        </w:rPr>
        <w:t>July 2026 Baseline Deliverables (KOMBINODE Rev 1/2 &amp; Legacy BLE Bridge) vs. October 2026 Final Release (COMBO_NODE Rev 3.6 &amp; BLE_BRIDGE Rev 2.3)</w:t>
      </w:r>
    </w:p>
    <w:p>
      <w:pPr>
        <w:pStyle w:val="Normal"/>
        <w:spacing w:before="0" w:after="80"/>
        <w:rPr>
          <w:color w:val="000000"/>
        </w:rPr>
      </w:pPr>
      <w:r>
        <w:rPr>
          <w:b/>
          <w:color w:val="000000"/>
        </w:rPr>
        <w:t xml:space="preserve">Document Date: </w:t>
      </w:r>
      <w:r>
        <w:rPr>
          <w:color w:val="000000"/>
        </w:rPr>
        <w:t>October 22, 2026</w:t>
      </w:r>
    </w:p>
    <w:p>
      <w:pPr>
        <w:pStyle w:val="Normal"/>
        <w:spacing w:before="0" w:after="80"/>
        <w:rPr>
          <w:color w:val="000000"/>
        </w:rPr>
      </w:pPr>
      <w:r>
        <w:rPr>
          <w:b/>
          <w:color w:val="000000"/>
        </w:rPr>
        <w:t xml:space="preserve">Status: </w:t>
      </w:r>
      <w:r>
        <w:rPr>
          <w:color w:val="000000"/>
        </w:rPr>
        <w:t>Hardware Revision 3.6 / 2.3 Complete, DRC/ERC Verified, and Production Ready for JLCPCB</w:t>
      </w:r>
    </w:p>
    <w:p>
      <w:pPr>
        <w:pStyle w:val="Normal"/>
        <w:spacing w:before="180" w:after="100"/>
        <w:rPr>
          <w:color w:val="000000"/>
        </w:rPr>
      </w:pPr>
      <w:r>
        <w:rPr>
          <w:b/>
          <w:color w:val="000000"/>
          <w:sz w:val="22"/>
        </w:rPr>
        <w:t>Final System Architecture Topology</w:t>
      </w:r>
    </w:p>
    <w:tbl>
      <w:tblPr>
        <w:tblStyle w:val="TableGrid"/>
        <w:tblW w:w="1018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185"/>
      </w:tblGrid>
      <w:tr>
        <w:trPr/>
        <w:tc>
          <w:tcPr>
            <w:tcW w:w="10185" w:type="dxa"/>
            <w:tcBorders/>
            <w:shd w:fill="D9EAF7"/>
            <w:vAlign w:val="center"/>
          </w:tcPr>
          <w:p>
            <w:pPr>
              <w:pStyle w:val="Normal"/>
              <w:widowControl/>
              <w:suppressAutoHyphens w:val="true"/>
              <w:spacing w:lineRule="auto" w:line="240" w:before="0" w:after="0"/>
              <w:jc w:val="left"/>
              <w:rPr>
                <w:color w:val="000000"/>
              </w:rPr>
            </w:pPr>
            <w:r>
              <w:rPr>
                <w:rFonts w:cs=""/>
                <w:b/>
                <w:color w:val="000000"/>
                <w:kern w:val="0"/>
                <w:sz w:val="18"/>
                <w:szCs w:val="22"/>
                <w:lang w:val="en-US" w:eastAsia="en-US" w:bidi="ar-SA"/>
              </w:rPr>
              <w:t>Environmental &amp; Bio-Sensors → COMBO_NODE (Rev 3.6) → Point-to-Point Sub-GHz LoRa → BLE_BRIDGE (Rev 2.3) → Wi-Fi → Cloud / Backend Endpoint</w:t>
            </w:r>
          </w:p>
        </w:tc>
      </w:tr>
    </w:tbl>
    <w:p>
      <w:pPr>
        <w:pStyle w:val="Normal"/>
        <w:rPr>
          <w:color w:val="000000"/>
        </w:rPr>
      </w:pPr>
      <w:r>
        <w:rPr>
          <w:color w:val="000000"/>
        </w:rPr>
      </w:r>
      <w:r>
        <w:br w:type="page"/>
      </w:r>
    </w:p>
    <w:p>
      <w:pPr>
        <w:pStyle w:val="Heading1"/>
        <w:spacing w:before="0" w:after="120"/>
        <w:rPr>
          <w:color w:val="000000"/>
        </w:rPr>
      </w:pPr>
      <w:r>
        <w:rPr>
          <w:color w:val="000000"/>
        </w:rPr>
        <w:t>1. Executive Summary &amp; Architecture Overview</w:t>
      </w:r>
    </w:p>
    <w:p>
      <w:pPr>
        <w:pStyle w:val="Normal"/>
        <w:rPr>
          <w:color w:val="000000"/>
        </w:rPr>
      </w:pPr>
      <w:r>
        <w:rPr>
          <w:color w:val="000000"/>
        </w:rPr>
        <w:t>The OpenMycoNet hardware platform underwent an engineering evolution between July 2026 and October 2026, transitioning from a short-range, single-node setup into a robust, long-range telemetry ecosystem. The October 2026 Revision 3.6 / 2.3 release integrates all critical hardware revisions requested by field requirements, resolving thermal coupling issues, expanding analog stimulation/excitation control, and optimizing deep-sleep power consumption across multiple subsystems.</w:t>
      </w:r>
    </w:p>
    <w:p>
      <w:pPr>
        <w:pStyle w:val="Normal"/>
        <w:spacing w:before="120" w:after="100"/>
        <w:rPr>
          <w:color w:val="000000"/>
        </w:rPr>
      </w:pPr>
      <w:r>
        <w:rPr>
          <w:b/>
          <w:color w:val="000000"/>
        </w:rPr>
        <w:t>July 2026 Baseline Architecture (Legacy Generation)</w:t>
      </w:r>
    </w:p>
    <w:p>
      <w:pPr>
        <w:pStyle w:val="Normal"/>
        <w:rPr>
          <w:color w:val="000000"/>
        </w:rPr>
      </w:pPr>
      <w:r>
        <w:rPr>
          <w:b/>
          <w:color w:val="000000"/>
        </w:rPr>
        <w:t xml:space="preserve">KOMBINODE Board: </w:t>
      </w:r>
      <w:r>
        <w:rPr>
          <w:color w:val="000000"/>
        </w:rPr>
        <w:t>A compact standalone sensor node (76.9 mm × 52.4 mm, 2-layer) centered on an ESP32-WROOM-32E-N4 MCU, utilizing an MCP73831 linear charger, dual AP2112K LDO regulators, and short-range Wi-Fi/Bluetooth logging.</w:t>
      </w:r>
    </w:p>
    <w:p>
      <w:pPr>
        <w:pStyle w:val="Normal"/>
        <w:rPr>
          <w:color w:val="000000"/>
        </w:rPr>
      </w:pPr>
      <w:r>
        <w:rPr>
          <w:b/>
          <w:color w:val="000000"/>
        </w:rPr>
        <w:t xml:space="preserve">Legacy BLE Bridge: </w:t>
      </w:r>
      <w:r>
        <w:rPr>
          <w:color w:val="000000"/>
        </w:rPr>
        <w:t>A basic bridge sharing the linear power topology (MCP73831 charger + AP2112K LDOs) and ESP32-WROOM MCU, relying strictly on 2.4 GHz Wi-Fi/BLE without long-range radio support.</w:t>
      </w:r>
    </w:p>
    <w:p>
      <w:pPr>
        <w:pStyle w:val="Normal"/>
        <w:spacing w:before="120" w:after="100"/>
        <w:rPr>
          <w:color w:val="000000"/>
        </w:rPr>
      </w:pPr>
      <w:r>
        <w:rPr>
          <w:b/>
          <w:color w:val="000000"/>
        </w:rPr>
        <w:t>October 2026 Final System Architecture (Dual-Board Ecosystem)</w:t>
      </w:r>
    </w:p>
    <w:p>
      <w:pPr>
        <w:pStyle w:val="Normal"/>
        <w:rPr>
          <w:color w:val="000000"/>
        </w:rPr>
      </w:pPr>
      <w:r>
        <w:rPr>
          <w:b/>
          <w:color w:val="000000"/>
        </w:rPr>
        <w:t xml:space="preserve">COMBO_NODE (Rev 3.6): </w:t>
      </w:r>
      <w:r>
        <w:rPr>
          <w:color w:val="000000"/>
        </w:rPr>
        <w:t>A 4-layer long-range multi-parameter sensing node (124.9 mm × 87.25 mm) featuring an ESP32-S3-WROOM-1-N16R8, BQ24075 power-path management, dual TPS63020DSJR buck-boost regulators, Sub-GHz SX1262 LoRa, and a dedicated 3-BNC Electrochemical (EC) / Bio-Potential analog front-end.</w:t>
      </w:r>
    </w:p>
    <w:p>
      <w:pPr>
        <w:pStyle w:val="Normal"/>
        <w:rPr>
          <w:color w:val="000000"/>
        </w:rPr>
      </w:pPr>
      <w:r>
        <w:rPr>
          <w:b/>
          <w:color w:val="000000"/>
        </w:rPr>
        <w:t xml:space="preserve">BLE_BRIDGE (Rev 2.3): </w:t>
      </w:r>
      <w:r>
        <w:rPr>
          <w:color w:val="000000"/>
        </w:rPr>
        <w:t>A standardized stationary gateway sharing the core ESP32-S3 MCU and buck-boost power architecture. It receives long-range telemetry packets from field COMBO_NODEs exclusively via point-to-point Sub-GHz LoRa, and forwards the aggregated telemetry to cloud backend endpoints via its onboard Wi-Fi uplink.</w:t>
      </w:r>
    </w:p>
    <w:p>
      <w:pPr>
        <w:pStyle w:val="Heading1"/>
        <w:rPr>
          <w:color w:val="000000"/>
        </w:rPr>
      </w:pPr>
      <w:r>
        <w:rPr>
          <w:color w:val="000000"/>
        </w:rPr>
        <w:t>2. High-Level Architecture Comparison Matrix</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56"/>
        <w:gridCol w:w="2556"/>
        <w:gridCol w:w="2561"/>
        <w:gridCol w:w="2550"/>
      </w:tblGrid>
      <w:tr>
        <w:trPr>
          <w:tblHeader w:val="true"/>
        </w:trPr>
        <w:tc>
          <w:tcPr>
            <w:tcW w:w="2556" w:type="dxa"/>
            <w:tcBorders/>
            <w:shd w:fill="17365D"/>
            <w:vAlign w:val="center"/>
          </w:tcPr>
          <w:p>
            <w:pPr>
              <w:pStyle w:val="Normal"/>
              <w:widowControl/>
              <w:suppressAutoHyphens w:val="true"/>
              <w:spacing w:lineRule="auto" w:line="240" w:before="0" w:after="0"/>
              <w:jc w:val="left"/>
              <w:rPr>
                <w:color w:val="000000"/>
              </w:rPr>
            </w:pPr>
            <w:r>
              <w:rPr>
                <w:rFonts w:cs=""/>
                <w:b/>
                <w:color w:val="000000"/>
                <w:kern w:val="0"/>
                <w:sz w:val="14"/>
                <w:szCs w:val="22"/>
                <w:lang w:val="en-US" w:eastAsia="en-US" w:bidi="ar-SA"/>
              </w:rPr>
              <w:t>System Parameter</w:t>
            </w:r>
          </w:p>
        </w:tc>
        <w:tc>
          <w:tcPr>
            <w:tcW w:w="2556" w:type="dxa"/>
            <w:tcBorders/>
            <w:shd w:fill="17365D"/>
            <w:vAlign w:val="center"/>
          </w:tcPr>
          <w:p>
            <w:pPr>
              <w:pStyle w:val="Normal"/>
              <w:widowControl/>
              <w:suppressAutoHyphens w:val="true"/>
              <w:spacing w:lineRule="auto" w:line="240" w:before="0" w:after="0"/>
              <w:jc w:val="left"/>
              <w:rPr>
                <w:color w:val="000000"/>
              </w:rPr>
            </w:pPr>
            <w:r>
              <w:rPr>
                <w:rFonts w:cs=""/>
                <w:b/>
                <w:color w:val="000000"/>
                <w:kern w:val="0"/>
                <w:sz w:val="14"/>
                <w:szCs w:val="22"/>
                <w:lang w:val="en-US" w:eastAsia="en-US" w:bidi="ar-SA"/>
              </w:rPr>
              <w:t>July 2026 Legacy Version</w:t>
            </w:r>
          </w:p>
        </w:tc>
        <w:tc>
          <w:tcPr>
            <w:tcW w:w="2561" w:type="dxa"/>
            <w:tcBorders/>
            <w:shd w:fill="17365D"/>
            <w:vAlign w:val="center"/>
          </w:tcPr>
          <w:p>
            <w:pPr>
              <w:pStyle w:val="Normal"/>
              <w:widowControl/>
              <w:suppressAutoHyphens w:val="true"/>
              <w:spacing w:lineRule="auto" w:line="240" w:before="0" w:after="0"/>
              <w:jc w:val="left"/>
              <w:rPr>
                <w:color w:val="000000"/>
              </w:rPr>
            </w:pPr>
            <w:r>
              <w:rPr>
                <w:rFonts w:cs=""/>
                <w:b/>
                <w:color w:val="000000"/>
                <w:kern w:val="0"/>
                <w:sz w:val="14"/>
                <w:szCs w:val="22"/>
                <w:lang w:val="en-US" w:eastAsia="en-US" w:bidi="ar-SA"/>
              </w:rPr>
              <w:t>October 2026 Final Release (Rev 3.6 / Rev 2.3)</w:t>
            </w:r>
          </w:p>
        </w:tc>
        <w:tc>
          <w:tcPr>
            <w:tcW w:w="2550" w:type="dxa"/>
            <w:tcBorders/>
            <w:shd w:fill="17365D"/>
            <w:vAlign w:val="center"/>
          </w:tcPr>
          <w:p>
            <w:pPr>
              <w:pStyle w:val="Normal"/>
              <w:widowControl/>
              <w:suppressAutoHyphens w:val="true"/>
              <w:spacing w:lineRule="auto" w:line="240" w:before="0" w:after="0"/>
              <w:jc w:val="left"/>
              <w:rPr>
                <w:color w:val="000000"/>
              </w:rPr>
            </w:pPr>
            <w:r>
              <w:rPr>
                <w:rFonts w:cs=""/>
                <w:b/>
                <w:color w:val="000000"/>
                <w:kern w:val="0"/>
                <w:sz w:val="14"/>
                <w:szCs w:val="22"/>
                <w:lang w:val="en-US" w:eastAsia="en-US" w:bidi="ar-SA"/>
              </w:rPr>
              <w:t>Technical Objective &amp; Architectural Advantage</w:t>
            </w:r>
          </w:p>
        </w:tc>
      </w:tr>
      <w:tr>
        <w:trPr/>
        <w:tc>
          <w:tcPr>
            <w:tcW w:w="2556" w:type="dxa"/>
            <w:tcBorders/>
            <w:shd w:fill="FFFFFF"/>
            <w:vAlign w:val="center"/>
          </w:tcPr>
          <w:p>
            <w:pPr>
              <w:pStyle w:val="Normal"/>
              <w:widowControl/>
              <w:suppressAutoHyphens w:val="true"/>
              <w:spacing w:lineRule="auto" w:line="240" w:before="0" w:after="0"/>
              <w:jc w:val="left"/>
              <w:rPr>
                <w:color w:val="000000"/>
              </w:rPr>
            </w:pPr>
            <w:r>
              <w:rPr>
                <w:rFonts w:cs=""/>
                <w:b/>
                <w:color w:val="000000"/>
                <w:kern w:val="0"/>
                <w:sz w:val="15"/>
                <w:szCs w:val="22"/>
                <w:lang w:val="en-US" w:eastAsia="en-US" w:bidi="ar-SA"/>
              </w:rPr>
              <w:t>System Topology</w:t>
            </w:r>
          </w:p>
        </w:tc>
        <w:tc>
          <w:tcPr>
            <w:tcW w:w="2556" w:type="dxa"/>
            <w:tcBorders/>
            <w:shd w:fill="FFFFFF"/>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Standalone node + basic Wi-Fi bridge</w:t>
            </w:r>
          </w:p>
        </w:tc>
        <w:tc>
          <w:tcPr>
            <w:tcW w:w="2561" w:type="dxa"/>
            <w:tcBorders/>
            <w:shd w:fill="FFFFFF"/>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Dual-Board Ecosystem (Combo Node + BLE Bridge)</w:t>
            </w:r>
          </w:p>
        </w:tc>
        <w:tc>
          <w:tcPr>
            <w:tcW w:w="2550" w:type="dxa"/>
            <w:tcBorders/>
            <w:shd w:fill="FFFFFF"/>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Enables remote field deployment via point-to-point LoRa without local Wi-Fi at every sensor node.</w:t>
            </w:r>
          </w:p>
        </w:tc>
      </w:tr>
      <w:tr>
        <w:trPr/>
        <w:tc>
          <w:tcPr>
            <w:tcW w:w="2556" w:type="dxa"/>
            <w:tcBorders/>
            <w:shd w:fill="EEF4F8"/>
            <w:vAlign w:val="center"/>
          </w:tcPr>
          <w:p>
            <w:pPr>
              <w:pStyle w:val="Normal"/>
              <w:widowControl/>
              <w:suppressAutoHyphens w:val="true"/>
              <w:spacing w:lineRule="auto" w:line="240" w:before="0" w:after="0"/>
              <w:jc w:val="left"/>
              <w:rPr>
                <w:color w:val="000000"/>
              </w:rPr>
            </w:pPr>
            <w:r>
              <w:rPr>
                <w:rFonts w:cs=""/>
                <w:b/>
                <w:color w:val="000000"/>
                <w:kern w:val="0"/>
                <w:sz w:val="15"/>
                <w:szCs w:val="22"/>
                <w:lang w:val="en-US" w:eastAsia="en-US" w:bidi="ar-SA"/>
              </w:rPr>
              <w:t>Microcontroller</w:t>
            </w:r>
          </w:p>
        </w:tc>
        <w:tc>
          <w:tcPr>
            <w:tcW w:w="2556" w:type="dxa"/>
            <w:tcBorders/>
            <w:shd w:fill="EEF4F8"/>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ESP32-WROOM-32E-N4 (4 MB Flash)</w:t>
            </w:r>
          </w:p>
        </w:tc>
        <w:tc>
          <w:tcPr>
            <w:tcW w:w="2561" w:type="dxa"/>
            <w:tcBorders/>
            <w:shd w:fill="EEF4F8"/>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ESP32-S3-WROOM-1-N16R8 (16 MB Flash, 8 MB PSRAM)</w:t>
            </w:r>
          </w:p>
        </w:tc>
        <w:tc>
          <w:tcPr>
            <w:tcW w:w="2550" w:type="dxa"/>
            <w:tcBorders/>
            <w:shd w:fill="EEF4F8"/>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16 MB Quad Flash and 8 MB Octal PSRAM prevent heap exhaustion during local FFT analysis and SD buffering.</w:t>
            </w:r>
          </w:p>
        </w:tc>
      </w:tr>
      <w:tr>
        <w:trPr/>
        <w:tc>
          <w:tcPr>
            <w:tcW w:w="2556" w:type="dxa"/>
            <w:tcBorders/>
            <w:shd w:fill="FFFFFF"/>
            <w:vAlign w:val="center"/>
          </w:tcPr>
          <w:p>
            <w:pPr>
              <w:pStyle w:val="Normal"/>
              <w:widowControl/>
              <w:suppressAutoHyphens w:val="true"/>
              <w:spacing w:lineRule="auto" w:line="240" w:before="0" w:after="0"/>
              <w:jc w:val="left"/>
              <w:rPr>
                <w:color w:val="000000"/>
              </w:rPr>
            </w:pPr>
            <w:r>
              <w:rPr>
                <w:rFonts w:cs=""/>
                <w:b/>
                <w:color w:val="000000"/>
                <w:kern w:val="0"/>
                <w:sz w:val="15"/>
                <w:szCs w:val="22"/>
                <w:lang w:val="en-US" w:eastAsia="en-US" w:bidi="ar-SA"/>
              </w:rPr>
              <w:t>Layer Stack</w:t>
            </w:r>
          </w:p>
        </w:tc>
        <w:tc>
          <w:tcPr>
            <w:tcW w:w="2556" w:type="dxa"/>
            <w:tcBorders/>
            <w:shd w:fill="FFFFFF"/>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76.9 mm × 52.4 mm (2-layer)</w:t>
            </w:r>
          </w:p>
        </w:tc>
        <w:tc>
          <w:tcPr>
            <w:tcW w:w="2561" w:type="dxa"/>
            <w:tcBorders/>
            <w:shd w:fill="FFFFFF"/>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124.9 mm × 87.2 mm (4-layer DFM)</w:t>
            </w:r>
          </w:p>
        </w:tc>
        <w:tc>
          <w:tcPr>
            <w:tcW w:w="2550" w:type="dxa"/>
            <w:tcBorders/>
            <w:shd w:fill="FFFFFF"/>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Physical expansion allows clear noise-domain zoning between MCU, power, RF, and analog blocks.</w:t>
            </w:r>
          </w:p>
        </w:tc>
      </w:tr>
      <w:tr>
        <w:trPr/>
        <w:tc>
          <w:tcPr>
            <w:tcW w:w="2556" w:type="dxa"/>
            <w:tcBorders/>
            <w:shd w:fill="EEF4F8"/>
            <w:vAlign w:val="center"/>
          </w:tcPr>
          <w:p>
            <w:pPr>
              <w:pStyle w:val="Normal"/>
              <w:widowControl/>
              <w:suppressAutoHyphens w:val="true"/>
              <w:spacing w:lineRule="auto" w:line="240" w:before="0" w:after="0"/>
              <w:jc w:val="left"/>
              <w:rPr>
                <w:color w:val="000000"/>
              </w:rPr>
            </w:pPr>
            <w:r>
              <w:rPr>
                <w:rFonts w:cs=""/>
                <w:b/>
                <w:color w:val="000000"/>
                <w:kern w:val="0"/>
                <w:sz w:val="15"/>
                <w:szCs w:val="22"/>
                <w:lang w:val="en-US" w:eastAsia="en-US" w:bidi="ar-SA"/>
              </w:rPr>
              <w:t>Power Manager</w:t>
            </w:r>
          </w:p>
        </w:tc>
        <w:tc>
          <w:tcPr>
            <w:tcW w:w="2556" w:type="dxa"/>
            <w:tcBorders/>
            <w:shd w:fill="EEF4F8"/>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MCP73831 Linear Charger</w:t>
            </w:r>
          </w:p>
        </w:tc>
        <w:tc>
          <w:tcPr>
            <w:tcW w:w="2561" w:type="dxa"/>
            <w:tcBorders/>
            <w:shd w:fill="EEF4F8"/>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BQ24075RGT Standalone Power-Path</w:t>
            </w:r>
          </w:p>
        </w:tc>
        <w:tc>
          <w:tcPr>
            <w:tcW w:w="2550" w:type="dxa"/>
            <w:tcBorders/>
            <w:shd w:fill="EEF4F8"/>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Dynamic power-path routing powers system directly from USB-C without stressing or overcharging the LiPo battery.</w:t>
            </w:r>
          </w:p>
        </w:tc>
      </w:tr>
      <w:tr>
        <w:trPr/>
        <w:tc>
          <w:tcPr>
            <w:tcW w:w="2556" w:type="dxa"/>
            <w:tcBorders/>
            <w:shd w:fill="FFFFFF"/>
            <w:vAlign w:val="center"/>
          </w:tcPr>
          <w:p>
            <w:pPr>
              <w:pStyle w:val="Normal"/>
              <w:widowControl/>
              <w:suppressAutoHyphens w:val="true"/>
              <w:spacing w:lineRule="auto" w:line="240" w:before="0" w:after="0"/>
              <w:jc w:val="left"/>
              <w:rPr>
                <w:color w:val="000000"/>
              </w:rPr>
            </w:pPr>
            <w:r>
              <w:rPr>
                <w:rFonts w:cs=""/>
                <w:b/>
                <w:color w:val="000000"/>
                <w:kern w:val="0"/>
                <w:sz w:val="15"/>
                <w:szCs w:val="22"/>
                <w:lang w:val="en-US" w:eastAsia="en-US" w:bidi="ar-SA"/>
              </w:rPr>
              <w:t>Regulators</w:t>
            </w:r>
          </w:p>
        </w:tc>
        <w:tc>
          <w:tcPr>
            <w:tcW w:w="2556" w:type="dxa"/>
            <w:tcBorders/>
            <w:shd w:fill="FFFFFF"/>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AP2112K LDO Regulators (× 2)</w:t>
            </w:r>
          </w:p>
        </w:tc>
        <w:tc>
          <w:tcPr>
            <w:tcW w:w="2561" w:type="dxa"/>
            <w:tcBorders/>
            <w:shd w:fill="FFFFFF"/>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TPS63020DSJR Buck-Boost Converters (× 2)</w:t>
            </w:r>
          </w:p>
        </w:tc>
        <w:tc>
          <w:tcPr>
            <w:tcW w:w="2550" w:type="dxa"/>
            <w:tcBorders/>
            <w:shd w:fill="FFFFFF"/>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High-efficiency switching topology eliminates thermal loss and maintains stable +3.3V as battery drops to 3.0V.</w:t>
            </w:r>
          </w:p>
        </w:tc>
      </w:tr>
      <w:tr>
        <w:trPr/>
        <w:tc>
          <w:tcPr>
            <w:tcW w:w="2556" w:type="dxa"/>
            <w:tcBorders/>
            <w:shd w:fill="EEF4F8"/>
            <w:vAlign w:val="center"/>
          </w:tcPr>
          <w:p>
            <w:pPr>
              <w:pStyle w:val="Normal"/>
              <w:widowControl/>
              <w:suppressAutoHyphens w:val="true"/>
              <w:spacing w:lineRule="auto" w:line="240" w:before="0" w:after="0"/>
              <w:jc w:val="left"/>
              <w:rPr>
                <w:color w:val="000000"/>
              </w:rPr>
            </w:pPr>
            <w:r>
              <w:rPr>
                <w:rFonts w:cs=""/>
                <w:b/>
                <w:color w:val="000000"/>
                <w:kern w:val="0"/>
                <w:sz w:val="15"/>
                <w:szCs w:val="22"/>
                <w:lang w:val="en-US" w:eastAsia="en-US" w:bidi="ar-SA"/>
              </w:rPr>
              <w:t>Ground Plane</w:t>
            </w:r>
          </w:p>
        </w:tc>
        <w:tc>
          <w:tcPr>
            <w:tcW w:w="2556" w:type="dxa"/>
            <w:tcBorders/>
            <w:shd w:fill="EEF4F8"/>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Split planes (GND / GNDA)</w:t>
            </w:r>
          </w:p>
        </w:tc>
        <w:tc>
          <w:tcPr>
            <w:tcW w:w="2561" w:type="dxa"/>
            <w:tcBorders/>
            <w:shd w:fill="EEF4F8"/>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Continuous Solid Ground Plane across all 4 layers</w:t>
            </w:r>
          </w:p>
        </w:tc>
        <w:tc>
          <w:tcPr>
            <w:tcW w:w="2550" w:type="dxa"/>
            <w:tcBorders/>
            <w:shd w:fill="EEF4F8"/>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Eliminates return-path loop antennas and plane discontinuities; relies on spatial physical zoning.</w:t>
            </w:r>
          </w:p>
        </w:tc>
      </w:tr>
      <w:tr>
        <w:trPr/>
        <w:tc>
          <w:tcPr>
            <w:tcW w:w="2556" w:type="dxa"/>
            <w:tcBorders/>
            <w:shd w:fill="FFFFFF"/>
            <w:vAlign w:val="center"/>
          </w:tcPr>
          <w:p>
            <w:pPr>
              <w:pStyle w:val="Normal"/>
              <w:widowControl/>
              <w:suppressAutoHyphens w:val="true"/>
              <w:spacing w:lineRule="auto" w:line="240" w:before="0" w:after="0"/>
              <w:jc w:val="left"/>
              <w:rPr>
                <w:color w:val="000000"/>
              </w:rPr>
            </w:pPr>
            <w:r>
              <w:rPr>
                <w:rFonts w:cs=""/>
                <w:b/>
                <w:color w:val="000000"/>
                <w:kern w:val="0"/>
                <w:sz w:val="15"/>
                <w:szCs w:val="22"/>
                <w:lang w:val="en-US" w:eastAsia="en-US" w:bidi="ar-SA"/>
              </w:rPr>
              <w:t>Wireless</w:t>
            </w:r>
          </w:p>
        </w:tc>
        <w:tc>
          <w:tcPr>
            <w:tcW w:w="2556" w:type="dxa"/>
            <w:tcBorders/>
            <w:shd w:fill="FFFFFF"/>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Wi-Fi 802.11 b/g/n + BLE</w:t>
            </w:r>
          </w:p>
        </w:tc>
        <w:tc>
          <w:tcPr>
            <w:tcW w:w="2561" w:type="dxa"/>
            <w:tcBorders/>
            <w:shd w:fill="FFFFFF"/>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Sub-GHz SX1262 LoRa + PE4259 RF Switch</w:t>
            </w:r>
          </w:p>
        </w:tc>
        <w:tc>
          <w:tcPr>
            <w:tcW w:w="2550" w:type="dxa"/>
            <w:tcBorders/>
            <w:shd w:fill="FFFFFF"/>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Adds long-range point-to-point wireless telemetry with edge coaxial connector (J12).</w:t>
            </w:r>
          </w:p>
        </w:tc>
      </w:tr>
      <w:tr>
        <w:trPr/>
        <w:tc>
          <w:tcPr>
            <w:tcW w:w="2556" w:type="dxa"/>
            <w:tcBorders/>
            <w:shd w:fill="EEF4F8"/>
            <w:vAlign w:val="center"/>
          </w:tcPr>
          <w:p>
            <w:pPr>
              <w:pStyle w:val="Normal"/>
              <w:widowControl/>
              <w:suppressAutoHyphens w:val="true"/>
              <w:spacing w:lineRule="auto" w:line="240" w:before="0" w:after="0"/>
              <w:jc w:val="left"/>
              <w:rPr>
                <w:color w:val="000000"/>
              </w:rPr>
            </w:pPr>
            <w:r>
              <w:rPr>
                <w:rFonts w:cs=""/>
                <w:b/>
                <w:color w:val="000000"/>
                <w:kern w:val="0"/>
                <w:sz w:val="15"/>
                <w:szCs w:val="22"/>
                <w:lang w:val="en-US" w:eastAsia="en-US" w:bidi="ar-SA"/>
              </w:rPr>
              <w:t>EC Circuit</w:t>
            </w:r>
          </w:p>
        </w:tc>
        <w:tc>
          <w:tcPr>
            <w:tcW w:w="2556" w:type="dxa"/>
            <w:tcBorders/>
            <w:shd w:fill="EEF4F8"/>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Soil moisture front-end only</w:t>
            </w:r>
          </w:p>
        </w:tc>
        <w:tc>
          <w:tcPr>
            <w:tcW w:w="2561" w:type="dxa"/>
            <w:tcBorders/>
            <w:shd w:fill="EEF4F8"/>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Dedicated 16 Hz AC Excitation &amp; Sensing AFE</w:t>
            </w:r>
          </w:p>
        </w:tc>
        <w:tc>
          <w:tcPr>
            <w:tcW w:w="2550" w:type="dxa"/>
            <w:tcBorders/>
            <w:shd w:fill="EEF4F8"/>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Hardware EC circuit (OPA2320 + TS5A3159 switch) prevents electrode polarization during testing.</w:t>
            </w:r>
          </w:p>
        </w:tc>
      </w:tr>
      <w:tr>
        <w:trPr/>
        <w:tc>
          <w:tcPr>
            <w:tcW w:w="2556" w:type="dxa"/>
            <w:tcBorders/>
            <w:shd w:fill="FFFFFF"/>
            <w:vAlign w:val="center"/>
          </w:tcPr>
          <w:p>
            <w:pPr>
              <w:pStyle w:val="Normal"/>
              <w:widowControl/>
              <w:suppressAutoHyphens w:val="true"/>
              <w:spacing w:lineRule="auto" w:line="240" w:before="0" w:after="0"/>
              <w:jc w:val="left"/>
              <w:rPr>
                <w:color w:val="000000"/>
              </w:rPr>
            </w:pPr>
            <w:r>
              <w:rPr>
                <w:rFonts w:cs=""/>
                <w:b/>
                <w:color w:val="000000"/>
                <w:kern w:val="0"/>
                <w:sz w:val="15"/>
                <w:szCs w:val="22"/>
                <w:lang w:val="en-US" w:eastAsia="en-US" w:bidi="ar-SA"/>
              </w:rPr>
              <w:t>Probe Interface</w:t>
            </w:r>
          </w:p>
        </w:tc>
        <w:tc>
          <w:tcPr>
            <w:tcW w:w="2556" w:type="dxa"/>
            <w:tcBorders/>
            <w:shd w:fill="FFFFFF"/>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1x BNC + Screw Terminals</w:t>
            </w:r>
          </w:p>
        </w:tc>
        <w:tc>
          <w:tcPr>
            <w:tcW w:w="2561" w:type="dxa"/>
            <w:tcBorders/>
            <w:shd w:fill="FFFFFF"/>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3x Panel-Mount BNC Ports + 2-pin STIM Terminal</w:t>
            </w:r>
          </w:p>
        </w:tc>
        <w:tc>
          <w:tcPr>
            <w:tcW w:w="2550" w:type="dxa"/>
            <w:tcBorders/>
            <w:shd w:fill="FFFFFF"/>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BNC array for EC_DRIVER, EC_SENSE, and REFF_ELECTRODE plus STIM header.</w:t>
            </w:r>
          </w:p>
        </w:tc>
      </w:tr>
      <w:tr>
        <w:trPr/>
        <w:tc>
          <w:tcPr>
            <w:tcW w:w="2556" w:type="dxa"/>
            <w:tcBorders/>
            <w:shd w:fill="EEF4F8"/>
            <w:vAlign w:val="center"/>
          </w:tcPr>
          <w:p>
            <w:pPr>
              <w:pStyle w:val="Normal"/>
              <w:widowControl/>
              <w:suppressAutoHyphens w:val="true"/>
              <w:spacing w:lineRule="auto" w:line="240" w:before="0" w:after="0"/>
              <w:jc w:val="left"/>
              <w:rPr>
                <w:color w:val="000000"/>
              </w:rPr>
            </w:pPr>
            <w:r>
              <w:rPr>
                <w:rFonts w:cs=""/>
                <w:b/>
                <w:color w:val="000000"/>
                <w:kern w:val="0"/>
                <w:sz w:val="15"/>
                <w:szCs w:val="22"/>
                <w:lang w:val="en-US" w:eastAsia="en-US" w:bidi="ar-SA"/>
              </w:rPr>
              <w:t>Illumination</w:t>
            </w:r>
          </w:p>
        </w:tc>
        <w:tc>
          <w:tcPr>
            <w:tcW w:w="2556" w:type="dxa"/>
            <w:tcBorders/>
            <w:shd w:fill="EEF4F8"/>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8x Blue LEDs (On-board)</w:t>
            </w:r>
          </w:p>
        </w:tc>
        <w:tc>
          <w:tcPr>
            <w:tcW w:w="2561" w:type="dxa"/>
            <w:tcBorders/>
            <w:shd w:fill="EEF4F8"/>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Off-Board 470 nm Blue LEDs (Screw terminals)</w:t>
            </w:r>
          </w:p>
        </w:tc>
        <w:tc>
          <w:tcPr>
            <w:tcW w:w="2550" w:type="dxa"/>
            <w:tcBorders/>
            <w:shd w:fill="EEF4F8"/>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Migrated LEDs off-board to probe connectors (J5, J6) under PWM low-side BSS138 MOSFET control.</w:t>
            </w:r>
          </w:p>
        </w:tc>
      </w:tr>
      <w:tr>
        <w:trPr/>
        <w:tc>
          <w:tcPr>
            <w:tcW w:w="2556" w:type="dxa"/>
            <w:tcBorders/>
            <w:shd w:fill="FFFFFF"/>
            <w:vAlign w:val="center"/>
          </w:tcPr>
          <w:p>
            <w:pPr>
              <w:pStyle w:val="Normal"/>
              <w:widowControl/>
              <w:suppressAutoHyphens w:val="true"/>
              <w:spacing w:lineRule="auto" w:line="240" w:before="0" w:after="0"/>
              <w:jc w:val="left"/>
              <w:rPr>
                <w:color w:val="000000"/>
              </w:rPr>
            </w:pPr>
            <w:r>
              <w:rPr>
                <w:rFonts w:cs=""/>
                <w:b/>
                <w:color w:val="000000"/>
                <w:kern w:val="0"/>
                <w:sz w:val="15"/>
                <w:szCs w:val="22"/>
                <w:lang w:val="en-US" w:eastAsia="en-US" w:bidi="ar-SA"/>
              </w:rPr>
              <w:t>System Control</w:t>
            </w:r>
          </w:p>
        </w:tc>
        <w:tc>
          <w:tcPr>
            <w:tcW w:w="2556" w:type="dxa"/>
            <w:tcBorders/>
            <w:shd w:fill="FFFFFF"/>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Software Watchdog only</w:t>
            </w:r>
          </w:p>
        </w:tc>
        <w:tc>
          <w:tcPr>
            <w:tcW w:w="2561" w:type="dxa"/>
            <w:tcBorders/>
            <w:shd w:fill="FFFFFF"/>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TPS3851H33 Supervisor + TPS22919 Load Switches</w:t>
            </w:r>
          </w:p>
        </w:tc>
        <w:tc>
          <w:tcPr>
            <w:tcW w:w="2550" w:type="dxa"/>
            <w:tcBorders/>
            <w:shd w:fill="FFFFFF"/>
            <w:vAlign w:val="center"/>
          </w:tcPr>
          <w:p>
            <w:pPr>
              <w:pStyle w:val="Normal"/>
              <w:widowControl/>
              <w:suppressAutoHyphens w:val="true"/>
              <w:spacing w:lineRule="auto" w:line="240" w:before="0" w:after="0"/>
              <w:jc w:val="left"/>
              <w:rPr>
                <w:color w:val="000000"/>
              </w:rPr>
            </w:pPr>
            <w:r>
              <w:rPr>
                <w:rFonts w:cs=""/>
                <w:b w:val="false"/>
                <w:color w:val="000000"/>
                <w:kern w:val="0"/>
                <w:sz w:val="15"/>
                <w:szCs w:val="22"/>
                <w:lang w:val="en-US" w:eastAsia="en-US" w:bidi="ar-SA"/>
              </w:rPr>
              <w:t>Hardware supervisor prevents sleep resets; high-side load switches gate MicroSD and moisture power.</w:t>
            </w:r>
          </w:p>
        </w:tc>
      </w:tr>
    </w:tbl>
    <w:p>
      <w:pPr>
        <w:pStyle w:val="Heading1"/>
        <w:rPr>
          <w:color w:val="000000"/>
        </w:rPr>
      </w:pPr>
      <w:r>
        <w:rPr>
          <w:color w:val="000000"/>
        </w:rPr>
        <w:t>3. Subsystem Architecture &amp; Revision 3.6 Engineering Cases</w:t>
      </w:r>
    </w:p>
    <w:p>
      <w:pPr>
        <w:pStyle w:val="Heading2"/>
        <w:rPr>
          <w:color w:val="000000"/>
        </w:rPr>
      </w:pPr>
      <w:r>
        <w:rPr>
          <w:color w:val="000000"/>
        </w:rPr>
        <w:t>3.1 STIM Signal Conditioning &amp; Sub-2mV Resolution Control (Case 1)</w:t>
      </w:r>
    </w:p>
    <w:p>
      <w:pPr>
        <w:pStyle w:val="Normal"/>
        <w:rPr>
          <w:color w:val="000000"/>
        </w:rPr>
      </w:pPr>
      <w:r>
        <w:rPr>
          <w:b/>
          <w:color w:val="000000"/>
        </w:rPr>
        <w:t xml:space="preserve">Hardware Selection: </w:t>
      </w:r>
      <w:r>
        <w:rPr>
          <w:color w:val="000000"/>
        </w:rPr>
        <w:t>To achieve fine stimulation steps down to approximately 2 mV without distortion, Revision 3.6 incorporates a hardware switchable attenuator network (R43 = 9 kΩ, R44 = 1 kΩ) following the AC-coupling capacitor C32.</w:t>
      </w:r>
    </w:p>
    <w:p>
      <w:pPr>
        <w:pStyle w:val="Normal"/>
        <w:rPr>
          <w:color w:val="000000"/>
        </w:rPr>
      </w:pPr>
      <w:r>
        <w:rPr>
          <w:b/>
          <w:color w:val="000000"/>
        </w:rPr>
        <w:t xml:space="preserve">Control Interface: </w:t>
      </w:r>
      <w:r>
        <w:rPr>
          <w:color w:val="000000"/>
        </w:rPr>
        <w:t>Controlled via a C&amp;K JS102011JCQN SPDT slide switch (SW3) placed directly before the terminal output J9 (STIM_OUT).</w:t>
      </w:r>
    </w:p>
    <w:p>
      <w:pPr>
        <w:pStyle w:val="Normal"/>
        <w:rPr>
          <w:color w:val="000000"/>
        </w:rPr>
      </w:pPr>
      <w:r>
        <w:rPr>
          <w:b/>
          <w:color w:val="000000"/>
        </w:rPr>
        <w:t xml:space="preserve">Signal Integrity: </w:t>
      </w:r>
      <w:r>
        <w:rPr>
          <w:color w:val="000000"/>
        </w:rPr>
        <w:t>The break-before-make mechanical structure guarantees that the 1:1 and 1:10 attenuation paths remain mutually exclusive, preventing loading effects and preserving the fc ≈ 15.9 Hz high-pass cutoff frequency.</w:t>
      </w:r>
    </w:p>
    <w:p>
      <w:pPr>
        <w:pStyle w:val="Heading2"/>
        <w:rPr>
          <w:color w:val="000000"/>
        </w:rPr>
      </w:pPr>
      <w:r>
        <w:rPr>
          <w:color w:val="000000"/>
        </w:rPr>
        <w:t>3.2 EC Excitation Path &amp; RC Harmonics Suppression (Case 4)</w:t>
      </w:r>
    </w:p>
    <w:p>
      <w:pPr>
        <w:pStyle w:val="Normal"/>
        <w:rPr>
          <w:color w:val="000000"/>
        </w:rPr>
      </w:pPr>
      <w:r>
        <w:rPr>
          <w:b/>
          <w:color w:val="000000"/>
        </w:rPr>
        <w:t xml:space="preserve">Filter Layout: </w:t>
      </w:r>
      <w:r>
        <w:rPr>
          <w:color w:val="000000"/>
        </w:rPr>
        <w:t>Passive RC filter R38 (1 kΩ) and C29 (10 nF) relocated directly to the U13 non-inverting input (+INA / Pin 3).</w:t>
      </w:r>
    </w:p>
    <w:p>
      <w:pPr>
        <w:pStyle w:val="Normal"/>
        <w:rPr>
          <w:color w:val="000000"/>
        </w:rPr>
      </w:pPr>
      <w:r>
        <w:rPr>
          <w:b/>
          <w:color w:val="000000"/>
        </w:rPr>
        <w:t xml:space="preserve">Filter Performance: </w:t>
      </w:r>
      <w:r>
        <w:rPr>
          <w:color w:val="000000"/>
        </w:rPr>
        <w:t>Establishes a 15.9 kHz cutoff node that suppresses DAC quantization noise and PWM switching harmonics before entering the OPA2320 buffer.</w:t>
      </w:r>
    </w:p>
    <w:p>
      <w:pPr>
        <w:pStyle w:val="Normal"/>
        <w:rPr>
          <w:color w:val="000000"/>
        </w:rPr>
      </w:pPr>
      <w:r>
        <w:rPr>
          <w:b/>
          <w:color w:val="000000"/>
        </w:rPr>
        <w:t xml:space="preserve">Analog Front-End Shutdown: </w:t>
      </w:r>
      <w:r>
        <w:rPr>
          <w:color w:val="000000"/>
        </w:rPr>
        <w:t>Buffer U13 (OPA2320S) shutdown pins (-SHDN1 / -SHDN2) tied to ANA_SHUT (IO42), driving the AFE into a &lt;1 μA standby state during MCU deep sleep.</w:t>
      </w:r>
    </w:p>
    <w:p>
      <w:pPr>
        <w:pStyle w:val="Heading2"/>
        <w:rPr>
          <w:color w:val="000000"/>
        </w:rPr>
      </w:pPr>
      <w:r>
        <w:rPr>
          <w:color w:val="000000"/>
        </w:rPr>
        <w:t>3.3 INA333 Bio-Signal Front-End Over-Voltage Protection (Case 3)</w:t>
      </w:r>
    </w:p>
    <w:p>
      <w:pPr>
        <w:pStyle w:val="Normal"/>
        <w:rPr>
          <w:color w:val="000000"/>
        </w:rPr>
      </w:pPr>
      <w:r>
        <w:rPr>
          <w:b/>
          <w:color w:val="000000"/>
        </w:rPr>
        <w:t xml:space="preserve">Two-Stage Protection Array: </w:t>
      </w:r>
      <w:r>
        <w:rPr>
          <w:color w:val="000000"/>
        </w:rPr>
        <w:t>Differential INA+ and INA- lines pass through 1 kΩ (0.1%) series current-limiting resistors (R56, R57) placed in front of a BAV199DW (D3) dual rail-to-rail clamping diode array.</w:t>
      </w:r>
    </w:p>
    <w:p>
      <w:pPr>
        <w:pStyle w:val="Normal"/>
        <w:rPr>
          <w:color w:val="000000"/>
        </w:rPr>
      </w:pPr>
      <w:r>
        <w:rPr>
          <w:b/>
          <w:color w:val="000000"/>
        </w:rPr>
        <w:t xml:space="preserve">Ultra-Low Leakage: </w:t>
      </w:r>
      <w:r>
        <w:rPr>
          <w:color w:val="000000"/>
        </w:rPr>
        <w:t>The BAV199DW limits leakage to 5 pA, safely absorbing high-voltage ESD surges without degrading the microvolt bio-potential signal.</w:t>
      </w:r>
    </w:p>
    <w:p>
      <w:pPr>
        <w:pStyle w:val="Heading2"/>
        <w:rPr>
          <w:color w:val="000000"/>
        </w:rPr>
      </w:pPr>
      <w:r>
        <w:rPr>
          <w:color w:val="000000"/>
        </w:rPr>
        <w:t>3.4 SCD41 CO2 Sensor Thermal &amp; Physical Isolation</w:t>
      </w:r>
    </w:p>
    <w:p>
      <w:pPr>
        <w:pStyle w:val="Normal"/>
        <w:rPr>
          <w:color w:val="000000"/>
        </w:rPr>
      </w:pPr>
      <w:r>
        <w:rPr>
          <w:b/>
          <w:color w:val="000000"/>
        </w:rPr>
        <w:t xml:space="preserve">Isolation Tongue: </w:t>
      </w:r>
      <w:r>
        <w:rPr>
          <w:color w:val="000000"/>
        </w:rPr>
        <w:t>The SCD41 environmental CO2 sensor (U11) is positioned at the physical perimeter edge of the board, surrounded on three sides by PCB milling slots (air gap cutouts). This breaks conductive heat transfer paths through the FR4 substrate and copper planes, preventing board self-heating from skewing readings.</w:t>
      </w:r>
    </w:p>
    <w:p>
      <w:pPr>
        <w:pStyle w:val="Heading2"/>
        <w:rPr>
          <w:color w:val="000000"/>
        </w:rPr>
      </w:pPr>
      <w:r>
        <w:rPr>
          <w:color w:val="000000"/>
        </w:rPr>
        <w:t>3.5 Sensor Power Gating &amp; Illumination Migrations (Cases 1 &amp; 5)</w:t>
      </w:r>
    </w:p>
    <w:p>
      <w:pPr>
        <w:pStyle w:val="Normal"/>
        <w:rPr>
          <w:color w:val="000000"/>
        </w:rPr>
      </w:pPr>
      <w:r>
        <w:rPr>
          <w:b/>
          <w:color w:val="000000"/>
        </w:rPr>
        <w:t xml:space="preserve">Optical Probes (Case 1): </w:t>
      </w:r>
      <w:r>
        <w:rPr>
          <w:color w:val="000000"/>
        </w:rPr>
        <w:t>On-board 470 nm LEDs were replaced by external probe screw terminals (J5, J6). Driven by low-side BSS138 MOSFETs (Q1, Q2) via active-HIGH logic (LED_PWM1 / LED_PWM2 on IO11 / IO10) with 10 kΩ gate pull-downs (R34, R37) to ensure zero emission during MCU boot/sleep.</w:t>
      </w:r>
    </w:p>
    <w:p>
      <w:pPr>
        <w:pStyle w:val="Normal"/>
        <w:rPr>
          <w:color w:val="000000"/>
        </w:rPr>
      </w:pPr>
      <w:r>
        <w:rPr>
          <w:b/>
          <w:color w:val="000000"/>
        </w:rPr>
        <w:t xml:space="preserve">Soil Moisture Power Gating (Case 5): </w:t>
      </w:r>
      <w:r>
        <w:rPr>
          <w:color w:val="000000"/>
        </w:rPr>
        <w:t>A TPS22919 high-side load switch (U18) is driven by IO41 (MOISTURE_SLEEP) to gate the MOISTURE_VDD rail at the J9 terminal, eliminating the continuous 5 mA to 15 mA sensor idle drain. The ADS1115 ADC (U14) VDD remains powered by continuous +3.3VA to keep the shared I²C bus active without ESD diode back-feeding.</w:t>
      </w:r>
    </w:p>
    <w:p>
      <w:pPr>
        <w:pStyle w:val="Heading2"/>
        <w:rPr>
          <w:color w:val="000000"/>
        </w:rPr>
      </w:pPr>
      <w:r>
        <w:rPr>
          <w:color w:val="000000"/>
        </w:rPr>
        <w:t>3.6 Deep-Sleep Power Optimization &amp; System Safety (Cases 6 &amp; 7)</w:t>
      </w:r>
    </w:p>
    <w:p>
      <w:pPr>
        <w:pStyle w:val="Normal"/>
        <w:rPr>
          <w:color w:val="000000"/>
        </w:rPr>
      </w:pPr>
      <w:r>
        <w:rPr>
          <w:b/>
          <w:color w:val="000000"/>
        </w:rPr>
        <w:t xml:space="preserve">MicroSD Power Gating: </w:t>
      </w:r>
      <w:r>
        <w:rPr>
          <w:color w:val="000000"/>
        </w:rPr>
        <w:t>U17 (TPS22919) load switch gates the +3.3V supply to the SD card SD_VDD rail, eliminating up to 1 mA of idle standby current. Controlled by IO40 (SD_CARD_SLEEP). An external 1 kΩ resistor (R54) on QOD and C43 (47 μF) enforces a controlled fall time (tFALL ≈ 15.2 ms). All SPI pull-ups are re-routed to SD_VDD to stop parasitic bus leakage.</w:t>
      </w:r>
    </w:p>
    <w:p>
      <w:pPr>
        <w:pStyle w:val="Normal"/>
        <w:rPr>
          <w:color w:val="000000"/>
        </w:rPr>
      </w:pPr>
      <w:r>
        <w:rPr>
          <w:b/>
          <w:color w:val="000000"/>
        </w:rPr>
        <w:t xml:space="preserve">Watchdog Supervisor Deep-Sleep Upgrade: </w:t>
      </w:r>
      <w:r>
        <w:rPr>
          <w:color w:val="000000"/>
        </w:rPr>
        <w:t>The TPS3851H33 (U7) hardware supervisor is driven by RST_WDI (IO4) with a 323.4 ms nominal window (C45 = 100 nF). The SET1 pin is controlled by WCD_SLEEP (IO47), which pulls LOW before deep sleep to cleanly disable watchdog resets and maintain a &lt;15 μA system sleep profile.</w:t>
      </w:r>
    </w:p>
    <w:p>
      <w:pPr>
        <w:pStyle w:val="Normal"/>
        <w:rPr>
          <w:color w:val="000000"/>
        </w:rPr>
      </w:pPr>
      <w:r>
        <w:rPr>
          <w:b/>
          <w:color w:val="000000"/>
        </w:rPr>
        <w:t xml:space="preserve">Batteryless USB Mode (Case 7): </w:t>
      </w:r>
      <w:r>
        <w:rPr>
          <w:color w:val="000000"/>
        </w:rPr>
        <w:t>BQ24075 EN2 (Pin 5) is pulled HIGH to VBUS via R12 (10 kΩ), configuring External Resistor mode (EN2=1, EN1=0) to guarantee stable VDD regulation when running directly from USB without a battery.</w:t>
      </w:r>
    </w:p>
    <w:p>
      <w:pPr>
        <w:pStyle w:val="Normal"/>
        <w:rPr>
          <w:color w:val="000000"/>
        </w:rPr>
      </w:pPr>
      <w:r>
        <w:rPr>
          <w:b/>
          <w:color w:val="000000"/>
        </w:rPr>
        <w:t xml:space="preserve">Thermal Protection: </w:t>
      </w:r>
      <w:r>
        <w:rPr>
          <w:color w:val="000000"/>
        </w:rPr>
        <w:t>On-board thermistor TH1 is designated Do Not Populate (DNP). The BQ24075 relies 100% on the external pack NTC via J2 Pin 2 to prevent parallel resistance errors.</w:t>
      </w:r>
    </w:p>
    <w:p>
      <w:pPr>
        <w:pStyle w:val="Normal"/>
        <w:rPr>
          <w:color w:val="000000"/>
        </w:rPr>
      </w:pPr>
      <w:r>
        <w:rPr>
          <w:b/>
          <w:bCs/>
          <w:color w:val="000000"/>
          <w:sz w:val="22"/>
          <w:szCs w:val="22"/>
        </w:rPr>
        <w:t>3.7 Analog Midpoint Reference Distribution &amp; Final Rev 3.6 Enhancements</w:t>
      </w:r>
    </w:p>
    <w:p>
      <w:pPr>
        <w:pStyle w:val="BodyText"/>
        <w:rPr/>
      </w:pPr>
      <w:r>
        <w:rPr>
          <w:rStyle w:val="Strong"/>
          <w:color w:val="000000"/>
        </w:rPr>
        <w:t>Midpoint Reference Distribution (VMID_REFF / Points 06, 14):</w:t>
      </w:r>
      <w:r>
        <w:rPr>
          <w:color w:val="000000"/>
        </w:rPr>
        <w:t xml:space="preserve"> To establish a stable mid-rail reference for single-supply AC/DC signal processing, a 1.65 V reference is generated using a precision resistor divider consisting of R43 and R44 (100 kΩ each), filtered by C34 (100 nF to GND). The divider draws 16.5 µA from +3.3VA.</w:t>
      </w:r>
    </w:p>
    <w:p>
      <w:pPr>
        <w:pStyle w:val="BodyText"/>
        <w:rPr/>
      </w:pPr>
      <w:r>
        <w:rPr/>
        <w:t>The reference is actively buffered by a dedicated low-quiescent-current single op-amp, U19 (OPA333AIDBV</w:t>
      </w:r>
      <w:r>
        <w:rPr/>
        <w:t>R</w:t>
      </w:r>
      <w:r>
        <w:rPr/>
        <w:t>, SOT-23-5), configured as a 1:1 unity-gain voltage follower. Pin 3 (+IN) connects to the C34-filtered midpoint, while Pin 4 (-IN) is connected directly to Pin 1 (OUT).</w:t>
      </w:r>
    </w:p>
    <w:p>
      <w:pPr>
        <w:pStyle w:val="BodyText"/>
        <w:rPr/>
      </w:pPr>
      <w:r>
        <w:rPr/>
        <w:t>Pin 1 actively drives the VMID_REFF net through R62 (22 Ω), with dedicated local decoupling provided by C51 (100 nF). Channel B of U13 (U13B) is completely isolated and reserved exclusively for the EC probe receive amplifier, preventing soil-signal crosstalk during active EC stimulation.</w:t>
      </w:r>
    </w:p>
    <w:p>
      <w:pPr>
        <w:pStyle w:val="BodyText"/>
        <w:rPr/>
      </w:pPr>
      <w:r>
        <w:rPr/>
        <w:t>The buffered VMID_REFF output provides a low-impedance virtual ground reference for the following circuits:</w:t>
      </w:r>
    </w:p>
    <w:p>
      <w:pPr>
        <w:pStyle w:val="BodyText"/>
        <w:numPr>
          <w:ilvl w:val="0"/>
          <w:numId w:val="8"/>
        </w:numPr>
        <w:tabs>
          <w:tab w:val="clear" w:pos="720"/>
          <w:tab w:val="left" w:pos="0" w:leader="none"/>
        </w:tabs>
        <w:ind w:hanging="283" w:left="709"/>
        <w:rPr/>
      </w:pPr>
      <w:r>
        <w:rPr>
          <w:rStyle w:val="Strong"/>
        </w:rPr>
        <w:t>INA333 (U10), Pin 5 (REF):</w:t>
      </w:r>
      <w:r>
        <w:rPr/>
        <w:t xml:space="preserve"> Establishes the output reference level for bidirectional differential output swing.</w:t>
      </w:r>
    </w:p>
    <w:p>
      <w:pPr>
        <w:pStyle w:val="BodyText"/>
        <w:numPr>
          <w:ilvl w:val="0"/>
          <w:numId w:val="8"/>
        </w:numPr>
        <w:tabs>
          <w:tab w:val="clear" w:pos="720"/>
          <w:tab w:val="left" w:pos="0" w:leader="none"/>
        </w:tabs>
        <w:ind w:hanging="283" w:left="709"/>
        <w:rPr/>
      </w:pPr>
      <w:r>
        <w:rPr>
          <w:rStyle w:val="Strong"/>
        </w:rPr>
        <w:t>Input bias return resistors R63 and R64 (10 MΩ each):</w:t>
      </w:r>
      <w:r>
        <w:rPr/>
        <w:t xml:space="preserve"> Provide high-impedance bias return paths for input signals.</w:t>
      </w:r>
    </w:p>
    <w:p>
      <w:pPr>
        <w:pStyle w:val="BodyText"/>
        <w:numPr>
          <w:ilvl w:val="0"/>
          <w:numId w:val="8"/>
        </w:numPr>
        <w:tabs>
          <w:tab w:val="clear" w:pos="720"/>
          <w:tab w:val="left" w:pos="0" w:leader="none"/>
        </w:tabs>
        <w:ind w:hanging="283" w:left="709"/>
        <w:rPr/>
      </w:pPr>
      <w:r>
        <w:rPr>
          <w:rStyle w:val="Strong"/>
        </w:rPr>
        <w:t>Input bias offset network R32:</w:t>
      </w:r>
      <w:r>
        <w:rPr/>
        <w:t xml:space="preserve"> Establishes the intended input bias offset.</w:t>
      </w:r>
    </w:p>
    <w:p>
      <w:pPr>
        <w:pStyle w:val="BodyText"/>
        <w:numPr>
          <w:ilvl w:val="0"/>
          <w:numId w:val="8"/>
        </w:numPr>
        <w:tabs>
          <w:tab w:val="clear" w:pos="720"/>
          <w:tab w:val="left" w:pos="0" w:leader="none"/>
        </w:tabs>
        <w:ind w:hanging="283" w:left="709"/>
        <w:rPr/>
      </w:pPr>
      <w:r>
        <w:rPr>
          <w:rStyle w:val="Strong"/>
        </w:rPr>
        <w:t>EC stimulation return path (J11 Pin 2 and R46):</w:t>
      </w:r>
      <w:r>
        <w:rPr/>
        <w:t xml:space="preserve"> Provides the designated midpoint reference for the stimulation return circuit.</w:t>
      </w:r>
    </w:p>
    <w:p>
      <w:pPr>
        <w:pStyle w:val="BodyText"/>
        <w:rPr>
          <w:color w:val="000000"/>
        </w:rPr>
      </w:pPr>
      <w:r>
        <w:rPr>
          <w:b/>
          <w:color w:val="000000"/>
        </w:rPr>
        <w:t>INA333 Input Bias Return &amp; Decoupling (Point 11):</w:t>
      </w:r>
      <w:r>
        <w:rPr>
          <w:color w:val="000000"/>
        </w:rPr>
        <w:t xml:space="preserve"> To prevent high-impedance bio-potential inputs (BIO_IN+, BIO_IN-) from floating and saturating the INA333 gates, 10 MΩ resistors (R63, R64) are tied directly to VMID_REFF to prevent input charge accumulation. Localized 100 nF ceramic decoupling (C35) is added across U13 Pin 10 (+3.3VA) and GNDA to eliminate self-oscillation.</w:t>
      </w:r>
    </w:p>
    <w:p>
      <w:pPr>
        <w:pStyle w:val="BodyText"/>
        <w:rPr>
          <w:color w:val="000000"/>
        </w:rPr>
      </w:pPr>
      <w:r>
        <w:rPr>
          <w:b/>
          <w:color w:val="000000"/>
        </w:rPr>
        <w:t>EC Coupling Reactance Optimization (Point 07):</w:t>
      </w:r>
      <w:r>
        <w:rPr>
          <w:color w:val="000000"/>
        </w:rPr>
        <w:t xml:space="preserve"> The EC stimulation driver coupling capacitor C28 was upgraded from 1 µF to 100 µF (1206 MLCC, &gt;= 6.3V). This lowers the 16 Hz capacitive reactance (Xc) from ~9.95 kΩ down to ~99.5 Ω, eliminating drive voltage drops across high-impedance soil/liquid probes.</w:t>
      </w:r>
    </w:p>
    <w:p>
      <w:pPr>
        <w:pStyle w:val="BodyText"/>
        <w:rPr>
          <w:color w:val="000000"/>
        </w:rPr>
      </w:pPr>
      <w:r>
        <w:rPr>
          <w:b/>
          <w:color w:val="000000"/>
        </w:rPr>
        <w:t>Sensor Bus &amp; Power Re-integration (Points 08, 09, 10):</w:t>
      </w:r>
    </w:p>
    <w:p>
      <w:pPr>
        <w:pStyle w:val="BodyText"/>
        <w:numPr>
          <w:ilvl w:val="0"/>
          <w:numId w:val="7"/>
        </w:numPr>
        <w:tabs>
          <w:tab w:val="clear" w:pos="720"/>
          <w:tab w:val="left" w:pos="0" w:leader="none"/>
        </w:tabs>
        <w:ind w:hanging="283" w:left="709"/>
        <w:rPr>
          <w:color w:val="000000"/>
        </w:rPr>
      </w:pPr>
      <w:r>
        <w:rPr>
          <w:b/>
          <w:color w:val="000000"/>
        </w:rPr>
        <w:t>1-Wire Temperature:</w:t>
      </w:r>
      <w:r>
        <w:rPr>
          <w:color w:val="000000"/>
        </w:rPr>
        <w:t xml:space="preserve"> Added a dedicated 4.7 kΩ pull-up resistor (R19) on DS18B20_DATA to ensure open-drain bus timing stability.</w:t>
      </w:r>
    </w:p>
    <w:p>
      <w:pPr>
        <w:pStyle w:val="BodyText"/>
        <w:numPr>
          <w:ilvl w:val="0"/>
          <w:numId w:val="7"/>
        </w:numPr>
        <w:tabs>
          <w:tab w:val="clear" w:pos="720"/>
          <w:tab w:val="left" w:pos="0" w:leader="none"/>
        </w:tabs>
        <w:ind w:hanging="283" w:left="709"/>
        <w:rPr>
          <w:color w:val="000000"/>
        </w:rPr>
      </w:pPr>
      <w:r>
        <w:rPr>
          <w:b/>
          <w:color w:val="000000"/>
        </w:rPr>
        <w:t>LED Power Supply:</w:t>
      </w:r>
      <w:r>
        <w:rPr>
          <w:color w:val="000000"/>
        </w:rPr>
        <w:t xml:space="preserve"> Optical probe series resistors R33/R36 (68 Ω) re-routed to the +BATT supply to prevent voltage sagging on the primary digital +3.3V supply during active PWM illumination bursts.</w:t>
      </w:r>
    </w:p>
    <w:p>
      <w:pPr>
        <w:pStyle w:val="BodyText"/>
        <w:numPr>
          <w:ilvl w:val="0"/>
          <w:numId w:val="7"/>
        </w:numPr>
        <w:tabs>
          <w:tab w:val="clear" w:pos="720"/>
          <w:tab w:val="left" w:pos="0" w:leader="none"/>
        </w:tabs>
        <w:ind w:hanging="283" w:left="709"/>
        <w:rPr>
          <w:color w:val="000000"/>
        </w:rPr>
      </w:pPr>
      <w:r>
        <w:rPr>
          <w:b/>
          <w:color w:val="000000"/>
        </w:rPr>
        <w:t>Ground Net Correction:</w:t>
      </w:r>
      <w:r>
        <w:rPr>
          <w:color w:val="000000"/>
        </w:rPr>
        <w:t xml:space="preserve"> C22 ground return re-routed directly to the unified Layer 2 continuous ground plane (GND) to maintain low-inductance return paths.</w:t>
      </w:r>
    </w:p>
    <w:p>
      <w:pPr>
        <w:pStyle w:val="Heading2"/>
        <w:rPr>
          <w:color w:val="000000"/>
        </w:rPr>
      </w:pPr>
      <w:r>
        <w:rPr>
          <w:color w:val="000000"/>
        </w:rPr>
        <w:t>3.8 Component Footprint &amp; DFM Matrix</w:t>
      </w:r>
    </w:p>
    <w:p>
      <w:pPr>
        <w:pStyle w:val="Normal"/>
        <w:rPr>
          <w:color w:val="000000"/>
        </w:rPr>
      </w:pPr>
      <w:r>
        <w:rPr>
          <w:b/>
          <w:color w:val="000000"/>
        </w:rPr>
        <w:t xml:space="preserve">Layer Stackup: </w:t>
      </w:r>
      <w:r>
        <w:rPr>
          <w:color w:val="000000"/>
        </w:rPr>
        <w:t>4-layer DFM-compliant stackup utilizing a continuous ground return plane across all layers.</w:t>
      </w:r>
    </w:p>
    <w:p>
      <w:pPr>
        <w:pStyle w:val="Normal"/>
        <w:rPr>
          <w:color w:val="000000"/>
        </w:rPr>
      </w:pPr>
      <w:r>
        <w:rPr>
          <w:b/>
          <w:color w:val="000000"/>
        </w:rPr>
        <w:t xml:space="preserve">MPN Synchronization: </w:t>
      </w:r>
      <w:r>
        <w:rPr>
          <w:color w:val="000000"/>
        </w:rPr>
        <w:t>Updated footprints and CPL centroids for U2/U3 (TPS63020DSJR), D3 (BAV199DW), SW3 (JS102011JCQN), U13 (OPA2320SAIDGSR), U16 (SX1262IMLTRT), U17/U18 (TPS22919DCKR), and U7 (TPS3851H33EDRBR).</w:t>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Heading1"/>
        <w:rPr>
          <w:color w:val="000000"/>
        </w:rPr>
      </w:pPr>
      <w:r>
        <w:rPr>
          <w:color w:val="000000"/>
        </w:rPr>
        <w:t>4. Verification, ERC/DRC Health Report &amp; Manufacturing Deliverables</w:t>
      </w:r>
    </w:p>
    <w:p>
      <w:pPr>
        <w:pStyle w:val="Normal"/>
        <w:spacing w:before="120" w:after="100"/>
        <w:rPr>
          <w:color w:val="000000"/>
        </w:rPr>
      </w:pPr>
      <w:r>
        <w:rPr>
          <w:b/>
          <w:color w:val="000000"/>
        </w:rPr>
        <w:t>ERC &amp; DRC Verification Summary (October 10, 2026 Final Run)</w:t>
      </w:r>
    </w:p>
    <w:p>
      <w:pPr>
        <w:pStyle w:val="Normal"/>
        <w:rPr>
          <w:color w:val="000000"/>
        </w:rPr>
      </w:pPr>
      <w:r>
        <w:rPr>
          <w:color w:val="000000"/>
        </w:rPr>
        <w:t>The final KiCad 10.0.6 PCB layout files (COMBO_NODE.kicad_pcb and BLEBRIDGE_BOARD.kicad_pcb) underwent complete automated verification:</w:t>
      </w:r>
    </w:p>
    <w:p>
      <w:pPr>
        <w:pStyle w:val="Normal"/>
        <w:rPr>
          <w:color w:val="000000"/>
        </w:rPr>
      </w:pPr>
      <w:r>
        <w:rPr>
          <w:b/>
          <w:color w:val="000000"/>
        </w:rPr>
        <w:t xml:space="preserve">Unresolved ERC Errors: </w:t>
      </w:r>
      <w:r>
        <w:rPr>
          <w:color w:val="000000"/>
        </w:rPr>
        <w:t>0</w:t>
      </w:r>
    </w:p>
    <w:p>
      <w:pPr>
        <w:pStyle w:val="Normal"/>
        <w:rPr>
          <w:color w:val="000000"/>
        </w:rPr>
      </w:pPr>
      <w:r>
        <w:rPr>
          <w:b/>
          <w:color w:val="000000"/>
        </w:rPr>
        <w:t xml:space="preserve">Unresolved DRC Errors: </w:t>
      </w:r>
      <w:r>
        <w:rPr>
          <w:color w:val="000000"/>
        </w:rPr>
        <w:t>0</w:t>
      </w:r>
    </w:p>
    <w:p>
      <w:pPr>
        <w:pStyle w:val="Normal"/>
        <w:rPr>
          <w:color w:val="000000"/>
        </w:rPr>
      </w:pPr>
      <w:r>
        <w:rPr>
          <w:b/>
          <w:color w:val="000000"/>
        </w:rPr>
        <w:t xml:space="preserve">Unconnected Pads: </w:t>
      </w:r>
      <w:r>
        <w:rPr>
          <w:color w:val="000000"/>
        </w:rPr>
        <w:t>0</w:t>
      </w:r>
    </w:p>
    <w:p>
      <w:pPr>
        <w:pStyle w:val="Normal"/>
        <w:rPr>
          <w:color w:val="000000"/>
        </w:rPr>
      </w:pPr>
      <w:r>
        <w:rPr>
          <w:b/>
          <w:color w:val="000000"/>
        </w:rPr>
        <w:t xml:space="preserve">Intentional ERC Exclusions: </w:t>
      </w:r>
      <w:r>
        <w:rPr>
          <w:color w:val="000000"/>
        </w:rPr>
        <w:t>13 items. Standardized as warning (excluded) for passive pin-type reclassifications on power rails, custom BNC holder pins, U17/U18 VOUT pin types, and U7 thermal pad GND mapping.</w:t>
      </w:r>
    </w:p>
    <w:p>
      <w:pPr>
        <w:pStyle w:val="Normal"/>
        <w:rPr>
          <w:color w:val="000000"/>
        </w:rPr>
      </w:pPr>
      <w:r>
        <w:rPr>
          <w:b/>
          <w:color w:val="000000"/>
        </w:rPr>
        <w:t xml:space="preserve">Intentional DRC Exclusions: </w:t>
      </w:r>
      <w:r>
        <w:rPr>
          <w:color w:val="000000"/>
        </w:rPr>
        <w:t>8 items. Standardized as warning (excluded) for thermal via consolidations (U2, U3), legacy 4-via thermal pad retention (U7), solder mask relief overrides (J7, J10, Coaxial1, U5), and edge silkscreen clearances.</w:t>
      </w:r>
    </w:p>
    <w:p>
      <w:pPr>
        <w:pStyle w:val="Normal"/>
        <w:spacing w:before="120" w:after="100"/>
        <w:rPr>
          <w:color w:val="000000"/>
        </w:rPr>
      </w:pPr>
      <w:r>
        <w:rPr>
          <w:b/>
          <w:color w:val="000000"/>
        </w:rPr>
        <w:t>Production Package Inventory</w:t>
      </w:r>
    </w:p>
    <w:p>
      <w:pPr>
        <w:pStyle w:val="Normal"/>
        <w:rPr>
          <w:color w:val="000000"/>
        </w:rPr>
      </w:pPr>
      <w:r>
        <w:rPr>
          <w:color w:val="000000"/>
        </w:rPr>
        <w:t>All deliverables for COMBO_NODE Rev 3.6 (10-sheet PDF package) and BLE_BRIDGE Rev 2.3 (8-sheet PDF package) are compiled and ready for JLCPCB submission:</w:t>
      </w:r>
    </w:p>
    <w:p>
      <w:pPr>
        <w:pStyle w:val="Normal"/>
        <w:rPr>
          <w:color w:val="000000"/>
        </w:rPr>
      </w:pPr>
      <w:r>
        <w:rPr>
          <w:b/>
          <w:color w:val="000000"/>
        </w:rPr>
        <w:t xml:space="preserve">Gerber &amp; Drill Files: </w:t>
      </w:r>
      <w:r>
        <w:rPr>
          <w:color w:val="000000"/>
        </w:rPr>
        <w:t>.gbr and .drl files mapped to 4-layer stackup rules.</w:t>
      </w:r>
    </w:p>
    <w:p>
      <w:pPr>
        <w:pStyle w:val="Normal"/>
        <w:rPr>
          <w:color w:val="000000"/>
        </w:rPr>
      </w:pPr>
      <w:r>
        <w:rPr>
          <w:b/>
          <w:color w:val="000000"/>
        </w:rPr>
        <w:t xml:space="preserve">Bill of Materials (BOM): </w:t>
      </w:r>
      <w:r>
        <w:rPr>
          <w:color w:val="000000"/>
        </w:rPr>
        <w:t>Standardized .csv files with verified LCSC C-codes.</w:t>
      </w:r>
    </w:p>
    <w:p>
      <w:pPr>
        <w:pStyle w:val="Normal"/>
        <w:rPr>
          <w:color w:val="000000"/>
        </w:rPr>
      </w:pPr>
      <w:r>
        <w:rPr>
          <w:b/>
          <w:color w:val="000000"/>
        </w:rPr>
        <w:t xml:space="preserve">Pick &amp; Place (CPL): </w:t>
      </w:r>
      <w:r>
        <w:rPr>
          <w:color w:val="000000"/>
        </w:rPr>
        <w:t>Rotated and centered .pos centroid placement files.</w:t>
      </w:r>
    </w:p>
    <w:p>
      <w:pPr>
        <w:pStyle w:val="Normal"/>
        <w:widowControl/>
        <w:bidi w:val="0"/>
        <w:spacing w:lineRule="auto" w:line="276" w:before="0" w:after="100"/>
        <w:jc w:val="left"/>
        <w:rPr>
          <w:color w:val="000000"/>
        </w:rPr>
      </w:pPr>
      <w:r>
        <w:rPr>
          <w:b/>
          <w:color w:val="000000"/>
        </w:rPr>
        <w:t xml:space="preserve">Schematic Documentation: </w:t>
      </w:r>
      <w:r>
        <w:rPr>
          <w:color w:val="000000"/>
        </w:rPr>
        <w:t>Complete 10-sheet Revision 3.6 PDF package for COMBO_NODE and 8-sheet Revision 2.3 PDF package for BLE_BRIDGE.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08" w:right="1008" w:gutter="0" w:header="72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87878"/>
        <w:sz w:val="16"/>
      </w:rPr>
      <w:t>OpenMycoNet Environmental Telemetry &amp; Bioelectrical Sensing Platform</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87878"/>
        <w:sz w:val="16"/>
      </w:rPr>
      <w:t>OpenMycoNet Environmental Telemetry &amp; Bioelectrical Sensing Platform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787878"/>
        <w:sz w:val="16"/>
      </w:rPr>
      <w:t>OPENMYCONET  |  ARCHITECTURE &amp; DESIGN VERIFICATION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787878"/>
        <w:sz w:val="16"/>
      </w:rPr>
      <w:t>OPENMYCONET  |  ARCHITECTURE &amp; DESIGN VERIFICATION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00"/>
      <w:jc w:val="left"/>
    </w:pPr>
    <w:rPr>
      <w:rFonts w:ascii="Arial" w:hAnsi="Arial" w:eastAsia="Arial" w:cs="" w:cstheme="minorBidi"/>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20"/>
      <w:outlineLvl w:val="0"/>
    </w:pPr>
    <w:rPr>
      <w:rFonts w:ascii="Calibri" w:hAnsi="Calibri" w:eastAsia="" w:cs="" w:asciiTheme="majorHAnsi" w:cstheme="majorBidi" w:eastAsiaTheme="majorEastAsia" w:hAnsiTheme="majorHAnsi"/>
      <w:b/>
      <w:bCs/>
      <w:color w:val="17365D"/>
      <w:sz w:val="30"/>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17365D"/>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240" w:after="120"/>
      <w:contextualSpacing/>
    </w:pPr>
    <w:rPr>
      <w:rFonts w:ascii="Calibri" w:hAnsi="Calibri" w:eastAsia="" w:cs="" w:asciiTheme="majorHAnsi" w:cstheme="majorBidi" w:eastAsiaTheme="majorEastAsia" w:hAnsiTheme="majorHAnsi"/>
      <w:b/>
      <w:color w:val="17365D"/>
      <w:spacing w:val="5"/>
      <w:kern w:val="2"/>
      <w:sz w:val="44"/>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Application>LibreOffice/24.2.7.2$Linux_X86_64 LibreOffice_project/420$Build-2</Application>
  <AppVersion>15.0000</AppVersion>
  <Pages>5</Pages>
  <Words>1895</Words>
  <Characters>11113</Characters>
  <CharactersWithSpaces>12881</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2026-10-25T01:49:17Z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