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2"/>
        <w:gridCol w:w="5523"/>
        <w:gridCol w:w="1134"/>
        <w:gridCol w:w="2936"/>
      </w:tblGrid>
      <w:tr>
        <w:trPr>
          <w:trHeight w:val="454" w:hRule="exact"/>
        </w:trPr>
        <w:tc>
          <w:tcPr>
            <w:tcW w:w="1702"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lang w:val="en-US" w:eastAsia="zh-CN"/>
              </w:rPr>
              <w:t>乙方</w:t>
            </w:r>
            <w:r>
              <w:rPr>
                <w:rFonts w:hint="eastAsia" w:ascii="黑体" w:hAnsi="黑体" w:eastAsia="黑体" w:cs="黑体"/>
                <w:b/>
                <w:bCs/>
                <w:sz w:val="20"/>
                <w:szCs w:val="20"/>
              </w:rPr>
              <w:t>：</w:t>
            </w:r>
          </w:p>
        </w:tc>
        <w:tc>
          <w:tcPr>
            <w:tcW w:w="5523" w:type="dxa"/>
            <w:vAlign w:val="top"/>
          </w:tcPr>
          <w:p>
            <w:pPr>
              <w:jc w:val="left"/>
              <w:rPr>
                <w:rFonts w:hint="eastAsia" w:ascii="黑体" w:hAnsi="黑体" w:eastAsia="黑体" w:cs="黑体"/>
                <w:sz w:val="20"/>
                <w:szCs w:val="20"/>
              </w:rPr>
            </w:pPr>
            <w:r>
              <w:rPr>
                <w:rFonts w:hint="eastAsia" w:ascii="黑体" w:hAnsi="黑体" w:eastAsia="黑体" w:cs="黑体"/>
                <w:sz w:val="20"/>
                <w:szCs w:val="20"/>
              </w:rPr>
              <w:t>{{venderName}}</w:t>
            </w:r>
          </w:p>
        </w:tc>
        <w:tc>
          <w:tcPr>
            <w:tcW w:w="1134"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订单号：</w:t>
            </w:r>
          </w:p>
        </w:tc>
        <w:tc>
          <w:tcPr>
            <w:tcW w:w="2936" w:type="dxa"/>
            <w:vAlign w:val="top"/>
          </w:tcPr>
          <w:p>
            <w:pPr>
              <w:jc w:val="left"/>
              <w:rPr>
                <w:rFonts w:hint="eastAsia" w:ascii="黑体" w:hAnsi="黑体" w:eastAsia="黑体" w:cs="黑体"/>
                <w:sz w:val="20"/>
                <w:szCs w:val="20"/>
              </w:rPr>
            </w:pPr>
            <w:r>
              <w:rPr>
                <w:rFonts w:hint="eastAsia" w:ascii="黑体" w:hAnsi="黑体" w:eastAsia="黑体" w:cs="黑体"/>
                <w:sz w:val="20"/>
                <w:szCs w:val="20"/>
              </w:rPr>
              <w:t>{{code}}</w:t>
            </w:r>
          </w:p>
        </w:tc>
      </w:tr>
      <w:tr>
        <w:trPr>
          <w:trHeight w:val="454" w:hRule="exact"/>
        </w:trPr>
        <w:tc>
          <w:tcPr>
            <w:tcW w:w="1702"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地址：</w:t>
            </w:r>
          </w:p>
        </w:tc>
        <w:tc>
          <w:tcPr>
            <w:tcW w:w="5523" w:type="dxa"/>
            <w:vAlign w:val="top"/>
          </w:tcPr>
          <w:p>
            <w:pPr>
              <w:jc w:val="left"/>
              <w:rPr>
                <w:rFonts w:hint="eastAsia" w:ascii="黑体" w:hAnsi="黑体" w:eastAsia="黑体" w:cs="黑体"/>
                <w:sz w:val="20"/>
                <w:szCs w:val="20"/>
              </w:rPr>
            </w:pPr>
            <w:r>
              <w:rPr>
                <w:rFonts w:hint="eastAsia" w:ascii="黑体" w:hAnsi="黑体" w:eastAsia="黑体" w:cs="黑体"/>
                <w:sz w:val="20"/>
                <w:szCs w:val="20"/>
              </w:rPr>
              <w:t>{{venderCompanyAddress}}</w:t>
            </w:r>
          </w:p>
        </w:tc>
        <w:tc>
          <w:tcPr>
            <w:tcW w:w="1134"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订单日：</w:t>
            </w:r>
          </w:p>
        </w:tc>
        <w:tc>
          <w:tcPr>
            <w:tcW w:w="2936" w:type="dxa"/>
            <w:vAlign w:val="top"/>
          </w:tcPr>
          <w:p>
            <w:pPr>
              <w:jc w:val="left"/>
              <w:rPr>
                <w:rFonts w:hint="eastAsia" w:ascii="黑体" w:hAnsi="黑体" w:eastAsia="黑体" w:cs="黑体"/>
                <w:sz w:val="20"/>
                <w:szCs w:val="20"/>
              </w:rPr>
            </w:pPr>
            <w:r>
              <w:rPr>
                <w:rFonts w:hint="eastAsia" w:ascii="黑体" w:hAnsi="黑体" w:eastAsia="黑体" w:cs="黑体"/>
                <w:sz w:val="20"/>
                <w:szCs w:val="20"/>
              </w:rPr>
              <w:t>{{purchaseDate}}</w:t>
            </w:r>
          </w:p>
        </w:tc>
      </w:tr>
      <w:tr>
        <w:trPr>
          <w:trHeight w:val="454" w:hRule="exact"/>
        </w:trPr>
        <w:tc>
          <w:tcPr>
            <w:tcW w:w="1702"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电话：</w:t>
            </w:r>
          </w:p>
        </w:tc>
        <w:tc>
          <w:tcPr>
            <w:tcW w:w="5523" w:type="dxa"/>
            <w:vAlign w:val="top"/>
          </w:tcPr>
          <w:p>
            <w:pPr>
              <w:jc w:val="left"/>
              <w:rPr>
                <w:rFonts w:hint="eastAsia" w:ascii="黑体" w:hAnsi="黑体" w:eastAsia="黑体" w:cs="黑体"/>
                <w:sz w:val="20"/>
                <w:szCs w:val="20"/>
              </w:rPr>
            </w:pPr>
            <w:r>
              <w:rPr>
                <w:rFonts w:hint="eastAsia" w:ascii="黑体" w:hAnsi="黑体" w:eastAsia="黑体" w:cs="黑体"/>
                <w:sz w:val="20"/>
                <w:szCs w:val="20"/>
              </w:rPr>
              <w:t>{{venderPhone}}</w:t>
            </w:r>
          </w:p>
        </w:tc>
        <w:tc>
          <w:tcPr>
            <w:tcW w:w="1134"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采购员：</w:t>
            </w:r>
          </w:p>
        </w:tc>
        <w:tc>
          <w:tcPr>
            <w:tcW w:w="2936" w:type="dxa"/>
            <w:vAlign w:val="top"/>
          </w:tcPr>
          <w:p>
            <w:pPr>
              <w:jc w:val="left"/>
              <w:rPr>
                <w:rFonts w:hint="eastAsia" w:ascii="黑体" w:hAnsi="黑体" w:eastAsia="黑体" w:cs="黑体"/>
                <w:sz w:val="20"/>
                <w:szCs w:val="20"/>
              </w:rPr>
            </w:pPr>
            <w:r>
              <w:rPr>
                <w:rFonts w:hint="eastAsia" w:ascii="黑体" w:hAnsi="黑体" w:eastAsia="黑体" w:cs="黑体"/>
                <w:sz w:val="20"/>
                <w:szCs w:val="20"/>
              </w:rPr>
              <w:t>{{purchaseUserName}}</w:t>
            </w:r>
          </w:p>
        </w:tc>
      </w:tr>
      <w:tr>
        <w:trPr>
          <w:trHeight w:val="454" w:hRule="exact"/>
        </w:trPr>
        <w:tc>
          <w:tcPr>
            <w:tcW w:w="1702"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传真：</w:t>
            </w:r>
          </w:p>
        </w:tc>
        <w:tc>
          <w:tcPr>
            <w:tcW w:w="5523" w:type="dxa"/>
            <w:vAlign w:val="top"/>
          </w:tcPr>
          <w:p>
            <w:pPr>
              <w:jc w:val="left"/>
              <w:rPr>
                <w:rFonts w:hint="eastAsia" w:ascii="黑体" w:hAnsi="黑体" w:eastAsia="黑体" w:cs="黑体"/>
                <w:sz w:val="20"/>
                <w:szCs w:val="20"/>
              </w:rPr>
            </w:pPr>
            <w:r>
              <w:rPr>
                <w:rFonts w:hint="eastAsia" w:ascii="黑体" w:hAnsi="黑体" w:eastAsia="黑体" w:cs="黑体"/>
                <w:sz w:val="20"/>
                <w:szCs w:val="20"/>
              </w:rPr>
              <w:t>{{venderFax}}</w:t>
            </w:r>
          </w:p>
        </w:tc>
        <w:tc>
          <w:tcPr>
            <w:tcW w:w="1134"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跟单员：</w:t>
            </w:r>
          </w:p>
        </w:tc>
        <w:tc>
          <w:tcPr>
            <w:tcW w:w="2936" w:type="dxa"/>
            <w:vAlign w:val="top"/>
          </w:tcPr>
          <w:p>
            <w:pPr>
              <w:jc w:val="left"/>
              <w:rPr>
                <w:rFonts w:hint="eastAsia" w:ascii="黑体" w:hAnsi="黑体" w:eastAsia="黑体" w:cs="黑体"/>
                <w:sz w:val="20"/>
                <w:szCs w:val="20"/>
              </w:rPr>
            </w:pPr>
            <w:r>
              <w:rPr>
                <w:rFonts w:hint="eastAsia" w:ascii="黑体" w:hAnsi="黑体" w:eastAsia="黑体" w:cs="黑体"/>
                <w:sz w:val="20"/>
                <w:szCs w:val="20"/>
              </w:rPr>
              <w:t>{{trackUserName}}</w:t>
            </w:r>
          </w:p>
        </w:tc>
      </w:tr>
      <w:tr>
        <w:trPr>
          <w:trHeight w:val="454" w:hRule="exact"/>
        </w:trPr>
        <w:tc>
          <w:tcPr>
            <w:tcW w:w="1702" w:type="dxa"/>
            <w:vAlign w:val="top"/>
          </w:tcPr>
          <w:p>
            <w:pPr>
              <w:rPr>
                <w:rFonts w:hint="eastAsia" w:ascii="黑体" w:hAnsi="黑体" w:eastAsia="黑体" w:cs="黑体"/>
                <w:sz w:val="20"/>
                <w:szCs w:val="20"/>
              </w:rPr>
            </w:pPr>
            <w:r>
              <w:rPr>
                <w:rFonts w:hint="eastAsia" w:ascii="黑体" w:hAnsi="黑体" w:eastAsia="黑体" w:cs="黑体"/>
                <w:b/>
                <w:bCs/>
                <w:sz w:val="20"/>
                <w:szCs w:val="20"/>
              </w:rPr>
              <w:t>一、货物明细</w:t>
            </w:r>
          </w:p>
        </w:tc>
        <w:tc>
          <w:tcPr>
            <w:tcW w:w="5523" w:type="dxa"/>
            <w:vAlign w:val="top"/>
          </w:tcPr>
          <w:p>
            <w:pPr>
              <w:jc w:val="left"/>
              <w:rPr>
                <w:rFonts w:hint="eastAsia" w:ascii="黑体" w:hAnsi="黑体" w:eastAsia="黑体" w:cs="黑体"/>
                <w:sz w:val="20"/>
                <w:szCs w:val="20"/>
              </w:rPr>
            </w:pPr>
          </w:p>
        </w:tc>
        <w:tc>
          <w:tcPr>
            <w:tcW w:w="1134" w:type="dxa"/>
            <w:vAlign w:val="top"/>
          </w:tcPr>
          <w:p>
            <w:pPr>
              <w:jc w:val="center"/>
              <w:rPr>
                <w:rFonts w:hint="eastAsia" w:ascii="黑体" w:hAnsi="黑体" w:eastAsia="黑体" w:cs="黑体"/>
                <w:b/>
                <w:bCs/>
                <w:sz w:val="20"/>
                <w:szCs w:val="20"/>
              </w:rPr>
            </w:pPr>
            <w:r>
              <w:rPr>
                <w:rFonts w:hint="eastAsia" w:ascii="黑体" w:hAnsi="黑体" w:eastAsia="黑体" w:cs="黑体"/>
                <w:b/>
                <w:bCs/>
                <w:sz w:val="20"/>
                <w:szCs w:val="20"/>
              </w:rPr>
              <w:t>电</w:t>
            </w:r>
            <w:r>
              <w:rPr>
                <w:rFonts w:hint="eastAsia" w:ascii="黑体" w:hAnsi="黑体" w:eastAsia="黑体" w:cs="黑体"/>
                <w:b/>
                <w:bCs/>
                <w:sz w:val="20"/>
                <w:szCs w:val="20"/>
                <w:lang w:val="en-US" w:eastAsia="zh-CN"/>
              </w:rPr>
              <w:t xml:space="preserve">  </w:t>
            </w:r>
            <w:r>
              <w:rPr>
                <w:rFonts w:hint="eastAsia" w:ascii="黑体" w:hAnsi="黑体" w:eastAsia="黑体" w:cs="黑体"/>
                <w:b/>
                <w:bCs/>
                <w:sz w:val="20"/>
                <w:szCs w:val="20"/>
              </w:rPr>
              <w:t>话：</w:t>
            </w:r>
          </w:p>
        </w:tc>
        <w:tc>
          <w:tcPr>
            <w:tcW w:w="2936" w:type="dxa"/>
            <w:vAlign w:val="top"/>
          </w:tcPr>
          <w:p>
            <w:pPr>
              <w:jc w:val="left"/>
              <w:rPr>
                <w:rFonts w:hint="eastAsia" w:ascii="黑体" w:hAnsi="黑体" w:eastAsia="黑体" w:cs="黑体"/>
                <w:sz w:val="20"/>
                <w:szCs w:val="20"/>
              </w:rPr>
            </w:pPr>
            <w:r>
              <w:rPr>
                <w:rFonts w:hint="eastAsia" w:ascii="黑体" w:hAnsi="黑体" w:eastAsia="黑体" w:cs="黑体"/>
                <w:sz w:val="20"/>
                <w:szCs w:val="20"/>
              </w:rPr>
              <w:t>{{purchaseUserMobile}}</w:t>
            </w:r>
          </w:p>
        </w:tc>
      </w:tr>
    </w:tbl>
    <w:p>
      <w:pPr>
        <w:rPr>
          <w:rFonts w:hint="eastAsia" w:ascii="黑体" w:hAnsi="黑体" w:eastAsia="黑体" w:cs="黑体"/>
        </w:rPr>
      </w:pPr>
      <w:r>
        <w:rPr>
          <w:rFonts w:hint="eastAsia" w:ascii="黑体" w:hAnsi="黑体" w:eastAsia="黑体" w:cs="黑体"/>
        </w:rPr>
        <w:t>{{#skuTable}}</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b/>
          <w:bCs/>
          <w:sz w:val="20"/>
          <w:szCs w:val="20"/>
        </w:rPr>
        <w:t>二、唛头内容</w:t>
      </w:r>
      <w:r>
        <w:rPr>
          <w:rFonts w:hint="eastAsia" w:ascii="黑体" w:hAnsi="黑体" w:eastAsia="黑体" w:cs="黑体"/>
          <w:sz w:val="20"/>
          <w:szCs w:val="20"/>
        </w:rPr>
        <w:t>：</w:t>
      </w:r>
    </w:p>
    <w:p>
      <w:pPr>
        <w:keepNext w:val="0"/>
        <w:keepLines w:val="0"/>
        <w:pageBreakBefore w:val="0"/>
        <w:widowControl w:val="0"/>
        <w:kinsoku/>
        <w:wordWrap/>
        <w:overflowPunct/>
        <w:topLinePunct w:val="0"/>
        <w:autoSpaceDE/>
        <w:autoSpaceDN/>
        <w:bidi w:val="0"/>
        <w:adjustRightInd w:val="0"/>
        <w:snapToGrid w:val="0"/>
        <w:spacing w:line="360" w:lineRule="exact"/>
        <w:ind w:firstLine="420"/>
        <w:textAlignment w:val="auto"/>
        <w:rPr>
          <w:rFonts w:hint="eastAsia" w:ascii="黑体" w:hAnsi="黑体" w:eastAsia="黑体" w:cs="黑体"/>
          <w:sz w:val="20"/>
          <w:szCs w:val="20"/>
          <w:lang w:val="en-US" w:eastAsia="zh-CN"/>
        </w:rPr>
      </w:pPr>
      <w:r>
        <w:rPr>
          <w:rFonts w:hint="eastAsia" w:ascii="黑体" w:hAnsi="黑体" w:eastAsia="黑体" w:cs="黑体"/>
          <w:b/>
          <w:bCs/>
          <w:sz w:val="20"/>
          <w:szCs w:val="20"/>
        </w:rPr>
        <w:t>(1)外箱正唛</w:t>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ab/>
      </w:r>
      <w:r>
        <w:rPr>
          <w:rFonts w:hint="eastAsia" w:ascii="黑体" w:hAnsi="黑体" w:eastAsia="黑体" w:cs="黑体"/>
          <w:b/>
          <w:bCs/>
          <w:sz w:val="20"/>
          <w:szCs w:val="20"/>
        </w:rPr>
        <w:t>外箱侧唛</w:t>
      </w:r>
      <w:r>
        <w:rPr>
          <w:rFonts w:hint="eastAsia" w:ascii="黑体" w:hAnsi="黑体" w:eastAsia="黑体" w:cs="黑体"/>
          <w:sz w:val="20"/>
          <w:szCs w:val="20"/>
        </w:rPr>
        <w:br w:type="textWrapping"/>
      </w:r>
      <w:r>
        <w:rPr>
          <w:rFonts w:hint="eastAsia" w:ascii="黑体" w:hAnsi="黑体" w:eastAsia="黑体" w:cs="黑体"/>
          <w:sz w:val="20"/>
          <w:szCs w:val="20"/>
        </w:rPr>
        <w:t>三、外包装必须用五层标准纸箱,外箱一律用标准出口五层瓦楞(即双瓦楞)箱.内盒一律用标准出口三层瓦楞(即单瓦楞)箱. 工字型封箱，箱带颜色：</w:t>
      </w:r>
      <w:r>
        <w:rPr>
          <w:rFonts w:hint="eastAsia" w:ascii="黑体" w:hAnsi="黑体" w:eastAsia="黑体" w:cs="黑体"/>
          <w:sz w:val="20"/>
          <w:szCs w:val="20"/>
          <w:lang w:val="en-US" w:eastAsia="zh-CN"/>
        </w:rPr>
        <w:t xml:space="preserve">{{boxWithColorYellow}}黄色   {{boxWithColorTransparent}}透明   {{boxWithColorWhite}}白色纸质 </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打</w:t>
      </w:r>
      <w:r>
        <w:rPr>
          <w:rFonts w:hint="eastAsia" w:ascii="黑体" w:hAnsi="黑体" w:eastAsia="黑体" w:cs="黑体"/>
          <w:sz w:val="20"/>
          <w:szCs w:val="20"/>
          <w:lang w:val="en-US" w:eastAsia="zh-CN"/>
        </w:rPr>
        <w:t>包</w:t>
      </w:r>
      <w:r>
        <w:rPr>
          <w:rFonts w:hint="eastAsia" w:ascii="黑体" w:hAnsi="黑体" w:eastAsia="黑体" w:cs="黑体"/>
          <w:sz w:val="20"/>
          <w:szCs w:val="20"/>
        </w:rPr>
        <w:t>带：用无铁皮扣的．</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四、乙方在出货前必须提供完整出货样品{{sampleCount}}套，样品不到不付款。若是翻单，不经甲方确认,外箱尺寸不能修改.</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五、交货地点：甲方指定仓库，运费由乙方承担。</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六、结算方式：</w:t>
      </w:r>
      <w:r>
        <w:rPr>
          <w:rFonts w:hint="eastAsia" w:ascii="黑体" w:hAnsi="黑体" w:eastAsia="黑体" w:cs="黑体"/>
          <w:sz w:val="20"/>
          <w:szCs w:val="20"/>
          <w:lang w:val="en-US" w:eastAsia="zh-CN"/>
        </w:rPr>
        <w:t>{</w:t>
      </w:r>
      <w:r>
        <w:rPr>
          <w:rFonts w:hint="eastAsia" w:ascii="黑体" w:hAnsi="黑体" w:eastAsia="黑体" w:cs="黑体"/>
          <w:sz w:val="20"/>
          <w:szCs w:val="20"/>
        </w:rPr>
        <w:t>{</w:t>
      </w:r>
      <w:r>
        <w:rPr>
          <w:rFonts w:hint="eastAsia" w:ascii="黑体" w:hAnsi="黑体" w:eastAsia="黑体" w:cs="黑体"/>
          <w:sz w:val="20"/>
          <w:szCs w:val="20"/>
          <w:lang w:val="en-US" w:eastAsia="zh-CN"/>
        </w:rPr>
        <w:t>paymentName</w:t>
      </w:r>
      <w:r>
        <w:rPr>
          <w:rFonts w:hint="eastAsia" w:ascii="黑体" w:hAnsi="黑体" w:eastAsia="黑体" w:cs="黑体"/>
          <w:sz w:val="20"/>
          <w:szCs w:val="20"/>
        </w:rPr>
        <w:t>}</w:t>
      </w:r>
      <w:r>
        <w:rPr>
          <w:rFonts w:hint="eastAsia" w:ascii="黑体" w:hAnsi="黑体" w:eastAsia="黑体" w:cs="黑体"/>
          <w:sz w:val="20"/>
          <w:szCs w:val="20"/>
          <w:lang w:val="en-US" w:eastAsia="zh-CN"/>
        </w:rPr>
        <w:t>}</w:t>
      </w:r>
      <w:r>
        <w:rPr>
          <w:rFonts w:hint="eastAsia" w:ascii="黑体" w:hAnsi="黑体" w:eastAsia="黑体" w:cs="黑体"/>
          <w:sz w:val="20"/>
          <w:szCs w:val="20"/>
        </w:rPr>
        <w:br w:type="textWrapping"/>
      </w:r>
      <w:r>
        <w:rPr>
          <w:rFonts w:hint="eastAsia" w:ascii="黑体" w:hAnsi="黑体" w:eastAsia="黑体" w:cs="黑体"/>
          <w:sz w:val="20"/>
          <w:szCs w:val="20"/>
        </w:rPr>
        <w:t>期限：乙方凭增值税发票，正本合同，开票通知书向甲方结算，甲方在收到乙方提供的有效单据后，按约定结算方式付清。开票前请先待甲方传真通知。所有单据请寄</w:t>
      </w:r>
      <w:r>
        <w:rPr>
          <w:rFonts w:hint="eastAsia" w:ascii="黑体" w:hAnsi="黑体" w:eastAsia="黑体" w:cs="黑体"/>
          <w:sz w:val="20"/>
          <w:szCs w:val="20"/>
          <w:lang w:val="en-US" w:eastAsia="zh-CN"/>
        </w:rPr>
        <w:t xml:space="preserve"> </w:t>
      </w:r>
      <w:r>
        <w:rPr>
          <w:rFonts w:hint="eastAsia" w:ascii="黑体" w:hAnsi="黑体" w:eastAsia="黑体" w:cs="黑体"/>
          <w:sz w:val="20"/>
          <w:szCs w:val="20"/>
        </w:rPr>
        <w:t>浙江省宁波市镇海区庄市光明村光明路 288 号 傅意桥先生收 邮编：315201</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七、产品的质量按下列标准顺序依次执行：1、国家标准；2、无国家标准而有部门标准的，按部门标准执行；3、无国家标准和部门标准的，按企业标准执行；4、无上述标准的，或虽有上述标准，但甲方或外商有特殊要求的，按甲乙双方和外商商定的技术条件、样品或补充的技术要求执行；5、双方封样。</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八、此产品出口到______，出卖人就交付的标的物，除非法律另有规定，负有保证第三人不得向买受人主张任何权利（包括但不限于：所有权、担保权利、知识产权等）的义务；乙方确认已知晓本合同项下产品出口的目的地，因此乙方交付的产品亦应符合出口目的地法律法规等规范性文件关于产品质量及产品适销性的要求。如果因第三人主张权利导致买受人利益受到损害，出卖人应赔偿买受人的一切损失（包括但不限于：货物价值损失、运费损失、合理预期利润、仲裁费、诉讼费、律师费、执行费、差旅费等合理费用）。</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九、所有出口欧盟地区的产品均需符合ROHs指令及Reach法规；产品及包装物内均不可加入含有富马酸二甲酯(DMF)的防腐防霉剂产品。如需使用，则需符合欧盟无毒环保要求并提供检测证书或报告。</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十、甲方应在收到乙方货物后 天内验货，甲方承担第一次验货费用。因乙方原因造成重复验货的，重验费用由乙方承担。泛太公司人员每重验一次扣RMB500.00;SGS/API/ITS等第三方验货公司验货造成的重验费用另由工厂承担。因货物质量问题导致退货或重验导致交货期延误的相关责任由乙方承担。</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十一、违约责任；</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1、乙方所供货物的质量和包装不符合合同要求时，甲方可拒收或退货；</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2、乙方对提供产品的质量保证责任至货物运抵国外目的地后24个月内。产品出口后，外方提出的关于质量、包装的异议凭外方的传真由乙方负全部责任，乙方还应赔偿甲方由此所产生的全部损失。</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lang w:val="en-US" w:eastAsia="zh-CN"/>
        </w:rPr>
      </w:pPr>
      <w:r>
        <w:rPr>
          <w:rFonts w:hint="eastAsia" w:ascii="黑体" w:hAnsi="黑体" w:eastAsia="黑体" w:cs="黑体"/>
          <w:sz w:val="20"/>
          <w:szCs w:val="20"/>
        </w:rPr>
        <w:t>3、因上述原因发生仲裁或诉讼，其仲裁诉讼结果以及因此发生的仲裁费、诉讼费、律师费、执行费、差旅费等均由乙方承担；</w:t>
      </w:r>
    </w:p>
    <w:p>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ascii="黑体" w:hAnsi="黑体" w:eastAsia="黑体" w:cs="黑体"/>
          <w:sz w:val="20"/>
          <w:szCs w:val="20"/>
        </w:rPr>
      </w:pPr>
      <w:r>
        <w:rPr>
          <w:rFonts w:hint="eastAsia" w:ascii="黑体" w:hAnsi="黑体" w:eastAsia="黑体" w:cs="黑体"/>
          <w:sz w:val="20"/>
          <w:szCs w:val="20"/>
        </w:rPr>
        <w:t>4、乙方违反合同的约定延迟交货的，每延迟一天应支付甲方相当于合同总额1%违约金。</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lang w:val="en-US" w:eastAsia="zh-CN"/>
        </w:rPr>
      </w:pPr>
      <w:r>
        <w:rPr>
          <w:rFonts w:hint="eastAsia" w:ascii="黑体" w:hAnsi="黑体" w:eastAsia="黑体" w:cs="黑体"/>
          <w:sz w:val="20"/>
          <w:szCs w:val="20"/>
        </w:rPr>
        <w:t>5、甲方无正当理由中途退货，应向乙方偿付退货部分货款的  %的违约金，逾期付款的，甲方应在合理期限内向乙方支付未付款部分货款及</w:t>
      </w:r>
      <w:r>
        <w:rPr>
          <w:rFonts w:hint="eastAsia" w:ascii="黑体" w:hAnsi="黑体" w:eastAsia="黑体" w:cs="黑体"/>
          <w:sz w:val="20"/>
          <w:szCs w:val="20"/>
          <w:lang w:val="en-US" w:eastAsia="zh-CN"/>
        </w:rPr>
        <w:t>利息。</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十二、任何一方变更名称、地址、帐号、联系方式，均应及时通知对方，否则均要承担由此造成的损失或延误的责任。</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十三、任何一方法定代表人变更、机构调整、人员变动，均不影响本合同的效力。</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十四、本合同甲、乙双方共同盖章或法定代表人签字后生效，敬请乙方及时签章回传甲方。</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黑体" w:hAnsi="黑体" w:eastAsia="黑体" w:cs="黑体"/>
          <w:sz w:val="20"/>
          <w:szCs w:val="20"/>
        </w:rPr>
      </w:pPr>
      <w:r>
        <w:rPr>
          <w:rFonts w:hint="eastAsia" w:ascii="黑体" w:hAnsi="黑体" w:eastAsia="黑体" w:cs="黑体"/>
          <w:sz w:val="20"/>
          <w:szCs w:val="20"/>
        </w:rPr>
        <w:t>十五、若发生争议，双方应友好办协商解决，协商不成的，双方均可向宁波市当地法院提起诉讼。</w:t>
      </w:r>
    </w:p>
    <w:p>
      <w:pPr>
        <w:rPr>
          <w:rFonts w:hint="eastAsia" w:ascii="黑体" w:hAnsi="黑体" w:eastAsia="黑体" w:cs="黑体"/>
          <w:sz w:val="20"/>
          <w:szCs w:val="20"/>
          <w:lang w:val="en-US"/>
        </w:rPr>
      </w:pPr>
    </w:p>
    <w:p>
      <w:pPr>
        <w:rPr>
          <w:rFonts w:hint="eastAsia" w:ascii="黑体" w:hAnsi="黑体" w:eastAsia="黑体" w:cs="黑体"/>
          <w:sz w:val="20"/>
          <w:szCs w:val="20"/>
          <w:lang w:val="en-US"/>
        </w:rPr>
      </w:pPr>
      <w:bookmarkStart w:id="0" w:name="_GoBack"/>
      <w:bookmarkEnd w:id="0"/>
    </w:p>
    <w:p>
      <w:pPr>
        <w:rPr>
          <w:rFonts w:hint="eastAsia" w:ascii="黑体" w:hAnsi="黑体" w:eastAsia="黑体" w:cs="黑体"/>
          <w:sz w:val="20"/>
          <w:szCs w:val="20"/>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9"/>
        <w:gridCol w:w="5690"/>
      </w:tblGrid>
      <w:tr>
        <w:tc>
          <w:tcPr>
            <w:tcW w:w="5689" w:type="dxa"/>
            <w:tcBorders>
              <w:top w:val="nil"/>
              <w:left w:val="nil"/>
              <w:bottom w:val="nil"/>
              <w:right w:val="nil"/>
            </w:tcBorders>
          </w:tcPr>
          <w:p>
            <w:pPr>
              <w:rPr>
                <w:rFonts w:hint="eastAsia" w:ascii="黑体" w:hAnsi="黑体" w:eastAsia="黑体" w:cs="黑体"/>
                <w:sz w:val="20"/>
                <w:szCs w:val="20"/>
                <w:vertAlign w:val="baseline"/>
              </w:rPr>
            </w:pPr>
            <w:r>
              <w:rPr>
                <w:rFonts w:hint="eastAsia" w:ascii="黑体" w:hAnsi="黑体" w:eastAsia="黑体" w:cs="黑体"/>
                <w:sz w:val="20"/>
                <w:szCs w:val="20"/>
              </w:rPr>
              <w:t>甲方：</w:t>
            </w:r>
            <w:r>
              <w:rPr>
                <w:rFonts w:hint="eastAsia" w:ascii="黑体" w:hAnsi="黑体" w:eastAsia="黑体" w:cs="黑体"/>
                <w:sz w:val="20"/>
                <w:szCs w:val="20"/>
                <w:lang w:val="en-US"/>
              </w:rPr>
              <w:t>{{companyName}}</w:t>
            </w:r>
            <w:r>
              <w:rPr>
                <w:rFonts w:hint="eastAsia" w:ascii="黑体" w:hAnsi="黑体" w:eastAsia="黑体" w:cs="黑体"/>
                <w:sz w:val="20"/>
                <w:szCs w:val="20"/>
              </w:rPr>
              <w:tab/>
            </w:r>
          </w:p>
        </w:tc>
        <w:tc>
          <w:tcPr>
            <w:tcW w:w="5690" w:type="dxa"/>
            <w:tcBorders>
              <w:top w:val="nil"/>
              <w:left w:val="nil"/>
              <w:bottom w:val="nil"/>
              <w:right w:val="nil"/>
            </w:tcBorders>
          </w:tcPr>
          <w:p>
            <w:pPr>
              <w:rPr>
                <w:rFonts w:hint="eastAsia" w:ascii="黑体" w:hAnsi="黑体" w:eastAsia="黑体" w:cs="黑体"/>
                <w:sz w:val="20"/>
                <w:szCs w:val="20"/>
                <w:vertAlign w:val="baseline"/>
              </w:rPr>
            </w:pPr>
            <w:r>
              <w:rPr>
                <w:rFonts w:hint="eastAsia" w:ascii="黑体" w:hAnsi="黑体" w:eastAsia="黑体" w:cs="黑体"/>
                <w:sz w:val="20"/>
                <w:szCs w:val="20"/>
              </w:rPr>
              <w:t>乙方：{{venderName}}</w:t>
            </w:r>
          </w:p>
        </w:tc>
      </w:tr>
      <w:tr>
        <w:tc>
          <w:tcPr>
            <w:tcW w:w="5689" w:type="dxa"/>
            <w:tcBorders>
              <w:top w:val="nil"/>
              <w:left w:val="nil"/>
              <w:bottom w:val="nil"/>
              <w:right w:val="nil"/>
            </w:tcBorders>
          </w:tcPr>
          <w:p>
            <w:pPr>
              <w:rPr>
                <w:rFonts w:hint="eastAsia" w:ascii="黑体" w:hAnsi="黑体" w:eastAsia="黑体" w:cs="黑体"/>
                <w:sz w:val="20"/>
                <w:szCs w:val="20"/>
                <w:vertAlign w:val="baseline"/>
              </w:rPr>
            </w:pPr>
            <w:r>
              <w:rPr>
                <w:rFonts w:hint="eastAsia" w:ascii="黑体" w:hAnsi="黑体" w:eastAsia="黑体" w:cs="黑体"/>
                <w:sz w:val="20"/>
                <w:szCs w:val="20"/>
              </w:rPr>
              <w:t>经理：</w:t>
            </w:r>
          </w:p>
        </w:tc>
        <w:tc>
          <w:tcPr>
            <w:tcW w:w="5690" w:type="dxa"/>
            <w:tcBorders>
              <w:top w:val="nil"/>
              <w:left w:val="nil"/>
              <w:bottom w:val="nil"/>
              <w:right w:val="nil"/>
            </w:tcBorders>
          </w:tcPr>
          <w:p>
            <w:pPr>
              <w:rPr>
                <w:rFonts w:hint="eastAsia" w:ascii="黑体" w:hAnsi="黑体" w:eastAsia="黑体" w:cs="黑体"/>
                <w:sz w:val="20"/>
                <w:szCs w:val="20"/>
                <w:vertAlign w:val="baseline"/>
              </w:rPr>
            </w:pPr>
          </w:p>
        </w:tc>
      </w:tr>
    </w:tbl>
    <w:p>
      <w:pPr>
        <w:rPr>
          <w:rFonts w:hint="eastAsia" w:ascii="黑体" w:hAnsi="黑体" w:eastAsia="黑体" w:cs="黑体"/>
          <w:sz w:val="20"/>
          <w:szCs w:val="20"/>
          <w:lang w:val="en-US"/>
        </w:rPr>
      </w:pPr>
    </w:p>
    <w:sectPr>
      <w:headerReference r:id="rId5" w:type="first"/>
      <w:footerReference r:id="rId7" w:type="first"/>
      <w:headerReference r:id="rId3" w:type="default"/>
      <w:headerReference r:id="rId4" w:type="even"/>
      <w:footerReference r:id="rId6" w:type="even"/>
      <w:pgSz w:w="11906" w:h="16838"/>
      <w:pgMar w:top="403" w:right="386" w:bottom="816" w:left="357" w:header="720" w:footer="720"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keepLines/>
      <w:pageBreakBefore w:val="0"/>
      <w:widowControl/>
      <w:kinsoku/>
      <w:wordWrap/>
      <w:overflowPunct/>
      <w:topLinePunct w:val="0"/>
      <w:bidi w:val="0"/>
      <w:adjustRightInd/>
      <w:snapToGrid/>
      <w:spacing w:line="400" w:lineRule="exact"/>
      <w:ind w:right="1174"/>
      <w:jc w:val="center"/>
      <w:textAlignment w:val="auto"/>
      <w:rPr>
        <w:rFonts w:hint="eastAsia" w:ascii="黑体" w:hAnsi="黑体" w:eastAsia="黑体" w:cs="黑体"/>
        <w:b/>
        <w:bCs/>
        <w:sz w:val="28"/>
        <w:szCs w:val="28"/>
      </w:rPr>
    </w:pPr>
    <w:r>
      <w:rPr>
        <w:rFonts w:hint="eastAsia" w:ascii="黑体" w:hAnsi="黑体" w:eastAsia="黑体" w:cs="黑体"/>
        <w:b/>
        <w:bCs/>
        <w:sz w:val="28"/>
        <w:szCs w:val="28"/>
      </w:rPr>
      <w:drawing>
        <wp:anchor distT="0" distB="0" distL="114300" distR="114300" simplePos="0" relativeHeight="251659264" behindDoc="1" locked="0" layoutInCell="1" allowOverlap="0">
          <wp:simplePos x="0" y="0"/>
          <wp:positionH relativeFrom="column">
            <wp:posOffset>-92075</wp:posOffset>
          </wp:positionH>
          <wp:positionV relativeFrom="paragraph">
            <wp:posOffset>83185</wp:posOffset>
          </wp:positionV>
          <wp:extent cx="1811655" cy="758190"/>
          <wp:effectExtent l="0" t="0" r="0" b="0"/>
          <wp:wrapSquare wrapText="bothSides"/>
          <wp:docPr id="1" name="Picture 11" descr="徽标&#10;&#10;描述已自动生成"/>
          <wp:cNvGraphicFramePr/>
          <a:graphic xmlns:a="http://schemas.openxmlformats.org/drawingml/2006/main">
            <a:graphicData uri="http://schemas.openxmlformats.org/drawingml/2006/picture">
              <pic:pic xmlns:pic="http://schemas.openxmlformats.org/drawingml/2006/picture">
                <pic:nvPicPr>
                  <pic:cNvPr id="1" name="Picture 11" descr="徽标&#10;&#10;描述已自动生成"/>
                  <pic:cNvPicPr/>
                </pic:nvPicPr>
                <pic:blipFill>
                  <a:blip r:embed="rId1"/>
                  <a:stretch>
                    <a:fillRect/>
                  </a:stretch>
                </pic:blipFill>
                <pic:spPr>
                  <a:xfrm>
                    <a:off x="0" y="0"/>
                    <a:ext cx="1811655" cy="758190"/>
                  </a:xfrm>
                  <a:prstGeom prst="rect">
                    <a:avLst/>
                  </a:prstGeom>
                </pic:spPr>
              </pic:pic>
            </a:graphicData>
          </a:graphic>
        </wp:anchor>
      </w:drawing>
    </w:r>
    <w:r>
      <w:rPr>
        <w:rFonts w:hint="eastAsia" w:ascii="黑体" w:hAnsi="黑体" w:eastAsia="黑体" w:cs="黑体"/>
        <w:b/>
        <w:bCs/>
        <w:sz w:val="28"/>
        <w:szCs w:val="28"/>
        <w:lang w:val="en-US" w:bidi="ar"/>
      </w:rPr>
      <w:t>{{</w:t>
    </w:r>
    <w:r>
      <w:rPr>
        <w:rFonts w:hint="eastAsia" w:ascii="黑体" w:hAnsi="黑体" w:eastAsia="黑体" w:cs="黑体"/>
        <w:b/>
        <w:bCs/>
        <w:sz w:val="28"/>
        <w:szCs w:val="28"/>
        <w:lang w:bidi="ar"/>
      </w:rPr>
      <w:t>company</w:t>
    </w:r>
    <w:r>
      <w:rPr>
        <w:rFonts w:hint="eastAsia" w:ascii="黑体" w:hAnsi="黑体" w:eastAsia="黑体" w:cs="黑体"/>
        <w:b/>
        <w:bCs/>
        <w:sz w:val="28"/>
        <w:szCs w:val="28"/>
        <w:lang w:val="en-US" w:bidi="ar"/>
      </w:rPr>
      <w:t>Name</w:t>
    </w:r>
    <w:r>
      <w:rPr>
        <w:rFonts w:hint="eastAsia" w:ascii="黑体" w:hAnsi="黑体" w:eastAsia="黑体" w:cs="黑体"/>
        <w:b/>
        <w:bCs/>
        <w:kern w:val="0"/>
        <w:sz w:val="28"/>
        <w:szCs w:val="28"/>
        <w:lang w:bidi="ar"/>
      </w:rPr>
      <w:t>}}</w:t>
    </w:r>
  </w:p>
  <w:p>
    <w:pPr>
      <w:pStyle w:val="2"/>
      <w:keepNext/>
      <w:keepLines/>
      <w:pageBreakBefore w:val="0"/>
      <w:widowControl/>
      <w:kinsoku/>
      <w:wordWrap/>
      <w:overflowPunct/>
      <w:topLinePunct w:val="0"/>
      <w:bidi w:val="0"/>
      <w:adjustRightInd/>
      <w:snapToGrid/>
      <w:spacing w:line="400" w:lineRule="exact"/>
      <w:ind w:left="2940" w:leftChars="0" w:right="1174" w:firstLine="420" w:firstLineChars="0"/>
      <w:jc w:val="left"/>
      <w:textAlignment w:val="auto"/>
      <w:rPr>
        <w:rFonts w:hint="eastAsia" w:ascii="黑体" w:hAnsi="黑体" w:eastAsia="黑体" w:cs="黑体"/>
        <w:b/>
        <w:bCs/>
        <w:sz w:val="24"/>
        <w:szCs w:val="24"/>
      </w:rPr>
    </w:pPr>
    <w:r>
      <w:rPr>
        <w:rFonts w:hint="eastAsia" w:ascii="黑体" w:hAnsi="黑体" w:eastAsia="黑体" w:cs="黑体"/>
        <w:b/>
        <w:bCs/>
        <w:sz w:val="24"/>
        <w:szCs w:val="24"/>
      </w:rPr>
      <w:t>{{companyAddress}}</w:t>
    </w:r>
  </w:p>
  <w:p>
    <w:pPr>
      <w:pStyle w:val="2"/>
      <w:keepNext/>
      <w:keepLines/>
      <w:pageBreakBefore w:val="0"/>
      <w:widowControl/>
      <w:kinsoku/>
      <w:wordWrap/>
      <w:overflowPunct/>
      <w:topLinePunct w:val="0"/>
      <w:bidi w:val="0"/>
      <w:adjustRightInd/>
      <w:snapToGrid/>
      <w:spacing w:line="400" w:lineRule="exact"/>
      <w:ind w:left="2942" w:leftChars="0" w:right="1174" w:firstLine="420" w:firstLineChars="0"/>
      <w:textAlignment w:val="auto"/>
      <w:rPr>
        <w:rFonts w:hint="eastAsia" w:ascii="黑体" w:hAnsi="黑体" w:eastAsia="黑体" w:cs="黑体"/>
        <w:b/>
        <w:bCs/>
        <w:sz w:val="24"/>
        <w:szCs w:val="24"/>
      </w:rPr>
    </w:pPr>
    <w:r>
      <w:rPr>
        <w:rFonts w:hint="eastAsia" w:ascii="黑体" w:hAnsi="黑体" w:eastAsia="黑体" w:cs="黑体"/>
        <w:b/>
        <w:bCs/>
        <w:sz w:val="24"/>
        <w:szCs w:val="24"/>
      </w:rPr>
      <w:t>TEL:{{companyTel}}  FAX:{{companyFax}}</w:t>
    </w:r>
  </w:p>
  <w:p>
    <w:pPr>
      <w:pStyle w:val="2"/>
      <w:keepNext/>
      <w:keepLines/>
      <w:pageBreakBefore w:val="0"/>
      <w:widowControl/>
      <w:kinsoku/>
      <w:wordWrap/>
      <w:overflowPunct/>
      <w:topLinePunct w:val="0"/>
      <w:bidi w:val="0"/>
      <w:adjustRightInd/>
      <w:snapToGrid/>
      <w:spacing w:line="400" w:lineRule="exact"/>
      <w:ind w:left="2940" w:leftChars="0" w:right="1174" w:firstLine="420" w:firstLineChars="0"/>
      <w:textAlignment w:val="auto"/>
      <w:rPr>
        <w:rFonts w:hint="eastAsia" w:ascii="黑体" w:hAnsi="黑体" w:eastAsia="黑体" w:cs="黑体"/>
        <w:b/>
        <w:bCs/>
        <w:sz w:val="28"/>
        <w:szCs w:val="28"/>
      </w:rPr>
    </w:pPr>
    <w:r>
      <w:rPr>
        <w:rFonts w:hint="eastAsia" w:ascii="黑体" w:hAnsi="黑体" w:eastAsia="黑体" w:cs="黑体"/>
        <w:b/>
        <w:bCs/>
        <w:sz w:val="28"/>
        <w:szCs w:val="28"/>
      </w:rPr>
      <w:t>出口商品国内购销合同</w:t>
    </w:r>
  </w:p>
  <w:p>
    <w:pPr>
      <w:rPr>
        <w:rFonts w:hint="eastAsia" w:ascii="黑体" w:hAnsi="黑体" w:eastAsia="黑体" w:cs="黑体"/>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E4ZDZjMjllMGQ5MDg4ZjBlOTZmNTc1MjY1MmIxNTEifQ=="/>
  </w:docVars>
  <w:rsids>
    <w:rsidRoot w:val="002C00F2"/>
    <w:rsid w:val="000A4799"/>
    <w:rsid w:val="000D672F"/>
    <w:rsid w:val="00120E85"/>
    <w:rsid w:val="001625DE"/>
    <w:rsid w:val="002A172A"/>
    <w:rsid w:val="002C00F2"/>
    <w:rsid w:val="002C7F88"/>
    <w:rsid w:val="0035012A"/>
    <w:rsid w:val="00362AFB"/>
    <w:rsid w:val="003B1CB6"/>
    <w:rsid w:val="003C6905"/>
    <w:rsid w:val="003E0A1B"/>
    <w:rsid w:val="00450F2A"/>
    <w:rsid w:val="004B46AE"/>
    <w:rsid w:val="004C0E95"/>
    <w:rsid w:val="00501E06"/>
    <w:rsid w:val="00517D3D"/>
    <w:rsid w:val="005C0092"/>
    <w:rsid w:val="00645DED"/>
    <w:rsid w:val="006D05F7"/>
    <w:rsid w:val="0070055A"/>
    <w:rsid w:val="00744862"/>
    <w:rsid w:val="00765942"/>
    <w:rsid w:val="007919C8"/>
    <w:rsid w:val="007D5D02"/>
    <w:rsid w:val="00A13606"/>
    <w:rsid w:val="00A907BA"/>
    <w:rsid w:val="00AD5BF0"/>
    <w:rsid w:val="00AE2AD1"/>
    <w:rsid w:val="00AE3F62"/>
    <w:rsid w:val="00BC7789"/>
    <w:rsid w:val="00C3553F"/>
    <w:rsid w:val="00C66AAF"/>
    <w:rsid w:val="00CA0D44"/>
    <w:rsid w:val="00CA613C"/>
    <w:rsid w:val="00CB6DDA"/>
    <w:rsid w:val="00CC2D80"/>
    <w:rsid w:val="00CF00DC"/>
    <w:rsid w:val="00DF0A74"/>
    <w:rsid w:val="00E07A8C"/>
    <w:rsid w:val="00E57F51"/>
    <w:rsid w:val="00E7696F"/>
    <w:rsid w:val="00E810BC"/>
    <w:rsid w:val="00EB3627"/>
    <w:rsid w:val="00EC0263"/>
    <w:rsid w:val="00EE0BD1"/>
    <w:rsid w:val="00EE7118"/>
    <w:rsid w:val="00F92DAF"/>
    <w:rsid w:val="00F97ABC"/>
    <w:rsid w:val="0A3B12B2"/>
    <w:rsid w:val="0F9FF906"/>
    <w:rsid w:val="10716125"/>
    <w:rsid w:val="13B30CB1"/>
    <w:rsid w:val="184E71FB"/>
    <w:rsid w:val="1CC42B54"/>
    <w:rsid w:val="1FEF5007"/>
    <w:rsid w:val="234D23B2"/>
    <w:rsid w:val="282A46AC"/>
    <w:rsid w:val="28F8225D"/>
    <w:rsid w:val="29D75305"/>
    <w:rsid w:val="3C0D0634"/>
    <w:rsid w:val="3FFFA7C8"/>
    <w:rsid w:val="45A14F31"/>
    <w:rsid w:val="4A7E360D"/>
    <w:rsid w:val="4FB741E5"/>
    <w:rsid w:val="57983B30"/>
    <w:rsid w:val="5EF534F9"/>
    <w:rsid w:val="5F2F012F"/>
    <w:rsid w:val="62257264"/>
    <w:rsid w:val="62EC4B0C"/>
    <w:rsid w:val="67D9E00B"/>
    <w:rsid w:val="6B35DDD3"/>
    <w:rsid w:val="6EEF0589"/>
    <w:rsid w:val="6FB7107B"/>
    <w:rsid w:val="6FDE6FED"/>
    <w:rsid w:val="71BF8C5A"/>
    <w:rsid w:val="73243F55"/>
    <w:rsid w:val="7B7483CA"/>
    <w:rsid w:val="7E97B98B"/>
    <w:rsid w:val="7F9F6CB6"/>
    <w:rsid w:val="7FFF82E2"/>
    <w:rsid w:val="AEE7B61E"/>
    <w:rsid w:val="B9F190ED"/>
    <w:rsid w:val="BC7FDE5D"/>
    <w:rsid w:val="BFDE92DF"/>
    <w:rsid w:val="CAEB0475"/>
    <w:rsid w:val="E3E517AF"/>
    <w:rsid w:val="EFD3F71A"/>
    <w:rsid w:val="F7F7EC02"/>
    <w:rsid w:val="F7FDFC3C"/>
    <w:rsid w:val="F7FF6130"/>
    <w:rsid w:val="FABF6894"/>
    <w:rsid w:val="FCF9AA8C"/>
    <w:rsid w:val="FD9F1328"/>
    <w:rsid w:val="FD9F3CB1"/>
    <w:rsid w:val="FEBF3DD3"/>
    <w:rsid w:val="FFBD8FE0"/>
    <w:rsid w:val="FFEE6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11"/>
    <w:qFormat/>
    <w:uiPriority w:val="9"/>
    <w:pPr>
      <w:keepNext/>
      <w:keepLines/>
      <w:spacing w:line="259" w:lineRule="auto"/>
      <w:ind w:right="1172"/>
      <w:outlineLvl w:val="0"/>
    </w:pPr>
    <w:rPr>
      <w:rFonts w:ascii="Microsoft YaHei UI" w:hAnsi="Microsoft YaHei UI" w:eastAsia="Microsoft YaHei UI" w:cs="Microsoft YaHei UI"/>
      <w:color w:val="000000"/>
      <w:kern w:val="2"/>
      <w:sz w:val="28"/>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标题 1 字符"/>
    <w:basedOn w:val="8"/>
    <w:link w:val="2"/>
    <w:qFormat/>
    <w:uiPriority w:val="0"/>
    <w:rPr>
      <w:rFonts w:ascii="Microsoft YaHei UI" w:hAnsi="Microsoft YaHei UI" w:eastAsia="Microsoft YaHei UI" w:cs="Microsoft YaHei UI"/>
      <w:color w:val="000000"/>
      <w:sz w:val="2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1381</Words>
  <Characters>1702</Characters>
  <Lines>121</Lines>
  <Paragraphs>121</Paragraphs>
  <TotalTime>1</TotalTime>
  <ScaleCrop>false</ScaleCrop>
  <LinksUpToDate>false</LinksUpToDate>
  <CharactersWithSpaces>1741</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2024-07-07T00:29:00Z</dcterms:created>
  <dc:creator>波 程</dc:creator>
  <cp:lastModifiedBy>yangyy</cp:lastModifiedBy>
  <dcterms:modified xsi:type="dcterms:W3CDTF">2025-09-18T15:19:30Z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E94C47DE66E9D90AD0AD836637446AB0_42</vt:lpwstr>
  </property>
  <property fmtid="{D5CDD505-2E9C-101B-9397-08002B2CF9AE}" pid="4" name="KSOTemplateDocerSaveRecord">
    <vt:lpwstr>eyJoZGlkIjoiYjMyMGIzNDI5N2NjNTUxYmE3ZTFlNTAwNTY2OTcwMzgiLCJ1c2VySWQiOiIzMzQwMjU5MDAifQ==</vt:lpwstr>
  </property>
</Properties>
</file>