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D886" w14:textId="2AB3152B" w:rsidR="008B40A4" w:rsidRDefault="00DB246B" w:rsidP="003C4655">
      <w:pPr>
        <w:jc w:val="center"/>
        <w:rPr>
          <w:rFonts w:ascii="Arial" w:hAnsi="Arial"/>
          <w:b/>
          <w:sz w:val="18"/>
          <w:szCs w:val="18"/>
          <w:lang w:val="pt-BR"/>
        </w:rPr>
      </w:pPr>
      <w:r>
        <w:rPr>
          <w:rFonts w:ascii="Arial" w:hAnsi="Arial"/>
          <w:b/>
          <w:sz w:val="18"/>
          <w:szCs w:val="18"/>
          <w:lang w:val="pt-BR"/>
        </w:rPr>
        <w:t>Gestão e Governança de TI</w:t>
      </w:r>
    </w:p>
    <w:p w14:paraId="56A1B6B4" w14:textId="333FCEF1" w:rsidR="003C4655" w:rsidRDefault="00FE5FAD" w:rsidP="003C4655">
      <w:pPr>
        <w:jc w:val="center"/>
        <w:rPr>
          <w:rFonts w:ascii="Arial" w:hAnsi="Arial"/>
          <w:b/>
          <w:sz w:val="18"/>
          <w:szCs w:val="18"/>
          <w:lang w:val="pt-BR"/>
        </w:rPr>
      </w:pPr>
      <w:r>
        <w:rPr>
          <w:rFonts w:ascii="Arial" w:hAnsi="Arial"/>
          <w:b/>
          <w:sz w:val="18"/>
          <w:szCs w:val="18"/>
          <w:lang w:val="pt-BR"/>
        </w:rPr>
        <w:t>Exercícios</w:t>
      </w:r>
    </w:p>
    <w:p w14:paraId="007BF808" w14:textId="4362B9A6" w:rsidR="00005270" w:rsidRDefault="00005270" w:rsidP="003C4655">
      <w:pPr>
        <w:jc w:val="center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 xml:space="preserve">Prof. </w:t>
      </w:r>
      <w:r w:rsidR="00E15E96">
        <w:rPr>
          <w:rFonts w:ascii="Arial" w:hAnsi="Arial"/>
          <w:sz w:val="18"/>
          <w:szCs w:val="18"/>
          <w:lang w:val="pt-BR"/>
        </w:rPr>
        <w:t>Danilo Camotti</w:t>
      </w:r>
    </w:p>
    <w:p w14:paraId="6286DB1B" w14:textId="77777777" w:rsidR="00E15E96" w:rsidRDefault="00E15E96" w:rsidP="003C4655">
      <w:pPr>
        <w:jc w:val="center"/>
        <w:rPr>
          <w:rFonts w:ascii="Arial" w:hAnsi="Arial"/>
          <w:sz w:val="18"/>
          <w:szCs w:val="18"/>
          <w:lang w:val="pt-BR"/>
        </w:rPr>
      </w:pPr>
    </w:p>
    <w:p w14:paraId="43872E16" w14:textId="77777777" w:rsidR="00E15E96" w:rsidRDefault="00E15E96" w:rsidP="003C4655">
      <w:pPr>
        <w:jc w:val="center"/>
        <w:rPr>
          <w:rFonts w:ascii="Arial" w:hAnsi="Arial"/>
          <w:sz w:val="18"/>
          <w:szCs w:val="18"/>
          <w:lang w:val="pt-BR"/>
        </w:rPr>
      </w:pPr>
    </w:p>
    <w:p w14:paraId="76B85465" w14:textId="77777777" w:rsidR="00E15E96" w:rsidRPr="00E15E96" w:rsidRDefault="00E15E96" w:rsidP="00E15E96">
      <w:pPr>
        <w:jc w:val="both"/>
        <w:rPr>
          <w:rFonts w:ascii="Arial" w:hAnsi="Arial"/>
          <w:sz w:val="18"/>
          <w:szCs w:val="18"/>
          <w:lang w:val="pt-BR"/>
        </w:rPr>
      </w:pPr>
      <w:r w:rsidRPr="00E15E96">
        <w:rPr>
          <w:rFonts w:ascii="Arial" w:hAnsi="Arial"/>
          <w:sz w:val="18"/>
          <w:szCs w:val="18"/>
          <w:lang w:val="pt-BR"/>
        </w:rPr>
        <w:t>Responda as seguintes questões:</w:t>
      </w:r>
    </w:p>
    <w:p w14:paraId="188AA7B8" w14:textId="77777777" w:rsidR="00E15E96" w:rsidRPr="00E15E96" w:rsidRDefault="00E15E96" w:rsidP="00E15E96">
      <w:pPr>
        <w:jc w:val="both"/>
        <w:rPr>
          <w:rFonts w:ascii="Arial" w:hAnsi="Arial"/>
          <w:sz w:val="18"/>
          <w:szCs w:val="18"/>
          <w:lang w:val="pt-BR"/>
        </w:rPr>
      </w:pPr>
    </w:p>
    <w:p w14:paraId="1A510F98" w14:textId="25D28A13" w:rsidR="00E15E96" w:rsidRPr="00E15E96" w:rsidRDefault="00E15E96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E15E96">
        <w:rPr>
          <w:rFonts w:ascii="Arial" w:hAnsi="Arial"/>
          <w:sz w:val="18"/>
          <w:szCs w:val="18"/>
        </w:rPr>
        <w:t>Explique os cincos tipos de tomadas de decisão na governança de TI. Dê Exemplos.</w:t>
      </w:r>
    </w:p>
    <w:p w14:paraId="20F79A04" w14:textId="4F9CB6AC" w:rsidR="00DB246B" w:rsidRPr="00E15E96" w:rsidRDefault="00E15E96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E15E96">
        <w:rPr>
          <w:rFonts w:ascii="Arial" w:hAnsi="Arial"/>
          <w:sz w:val="18"/>
          <w:szCs w:val="18"/>
        </w:rPr>
        <w:t>Explique os arquétipos de TI. Dê exemplos.</w:t>
      </w:r>
    </w:p>
    <w:p w14:paraId="3ADE4466" w14:textId="77777777" w:rsidR="00434668" w:rsidRDefault="00434668" w:rsidP="00DB246B">
      <w:pPr>
        <w:jc w:val="both"/>
        <w:rPr>
          <w:rFonts w:ascii="Arial" w:hAnsi="Arial"/>
          <w:sz w:val="18"/>
          <w:szCs w:val="18"/>
          <w:lang w:val="pt-BR"/>
        </w:rPr>
      </w:pPr>
    </w:p>
    <w:p w14:paraId="26C64E35" w14:textId="171BBCEE" w:rsidR="00434668" w:rsidRDefault="001A40B5" w:rsidP="00DB246B">
      <w:pPr>
        <w:jc w:val="both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ab/>
        <w:t>A XPTO é uma empresa de transporte de cargas que enfrenta um problema de negócios e de TI. O cliente leva a um dos postos de coleta o produto a ser transportado. A empresa busca em cada posto de coleta os produtos e providencia o transporte para o seu destino. O principal produto da empresa é o XP-Express</w:t>
      </w:r>
      <w:r w:rsidR="00BE5A60">
        <w:rPr>
          <w:rFonts w:ascii="Arial" w:hAnsi="Arial"/>
          <w:sz w:val="18"/>
          <w:szCs w:val="18"/>
          <w:lang w:val="pt-BR"/>
        </w:rPr>
        <w:t xml:space="preserve"> 12</w:t>
      </w:r>
      <w:r>
        <w:rPr>
          <w:rFonts w:ascii="Arial" w:hAnsi="Arial"/>
          <w:sz w:val="18"/>
          <w:szCs w:val="18"/>
          <w:lang w:val="pt-BR"/>
        </w:rPr>
        <w:t xml:space="preserve">, que </w:t>
      </w:r>
      <w:r w:rsidR="00BE5A60">
        <w:rPr>
          <w:rFonts w:ascii="Arial" w:hAnsi="Arial"/>
          <w:sz w:val="18"/>
          <w:szCs w:val="18"/>
          <w:lang w:val="pt-BR"/>
        </w:rPr>
        <w:t>transporta</w:t>
      </w:r>
      <w:r>
        <w:rPr>
          <w:rFonts w:ascii="Arial" w:hAnsi="Arial"/>
          <w:sz w:val="18"/>
          <w:szCs w:val="18"/>
          <w:lang w:val="pt-BR"/>
        </w:rPr>
        <w:t xml:space="preserve"> o produto </w:t>
      </w:r>
      <w:r w:rsidR="00BE5A60">
        <w:rPr>
          <w:rFonts w:ascii="Arial" w:hAnsi="Arial"/>
          <w:sz w:val="18"/>
          <w:szCs w:val="18"/>
          <w:lang w:val="pt-BR"/>
        </w:rPr>
        <w:t xml:space="preserve">em 24 horas se o mesmo for entregue até o </w:t>
      </w:r>
      <w:r w:rsidR="00E15E96">
        <w:rPr>
          <w:rFonts w:ascii="Arial" w:hAnsi="Arial"/>
          <w:sz w:val="18"/>
          <w:szCs w:val="18"/>
          <w:lang w:val="pt-BR"/>
        </w:rPr>
        <w:t>meio-dia</w:t>
      </w:r>
      <w:r w:rsidR="00BE5A60">
        <w:rPr>
          <w:rFonts w:ascii="Arial" w:hAnsi="Arial"/>
          <w:sz w:val="18"/>
          <w:szCs w:val="18"/>
          <w:lang w:val="pt-BR"/>
        </w:rPr>
        <w:t xml:space="preserve"> no posto de coleta</w:t>
      </w:r>
      <w:r w:rsidR="00811D51">
        <w:rPr>
          <w:rFonts w:ascii="Arial" w:hAnsi="Arial"/>
          <w:sz w:val="18"/>
          <w:szCs w:val="18"/>
          <w:lang w:val="pt-BR"/>
        </w:rPr>
        <w:t xml:space="preserve"> e compromete-se a devolver o dinheiro se o prazo não for cumprido</w:t>
      </w:r>
      <w:r w:rsidR="00BE5A60">
        <w:rPr>
          <w:rFonts w:ascii="Arial" w:hAnsi="Arial"/>
          <w:sz w:val="18"/>
          <w:szCs w:val="18"/>
          <w:lang w:val="pt-BR"/>
        </w:rPr>
        <w:t>.</w:t>
      </w:r>
    </w:p>
    <w:p w14:paraId="48D0506E" w14:textId="449E3F7E" w:rsidR="001A40B5" w:rsidRDefault="00431273" w:rsidP="00434668">
      <w:pPr>
        <w:ind w:firstLine="720"/>
        <w:jc w:val="both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 xml:space="preserve">Há um sistema </w:t>
      </w:r>
      <w:r w:rsidR="00434668">
        <w:rPr>
          <w:rFonts w:ascii="Arial" w:hAnsi="Arial"/>
          <w:sz w:val="18"/>
          <w:szCs w:val="18"/>
          <w:lang w:val="pt-BR"/>
        </w:rPr>
        <w:t xml:space="preserve">central </w:t>
      </w:r>
      <w:r>
        <w:rPr>
          <w:rFonts w:ascii="Arial" w:hAnsi="Arial"/>
          <w:sz w:val="18"/>
          <w:szCs w:val="18"/>
          <w:lang w:val="pt-BR"/>
        </w:rPr>
        <w:t xml:space="preserve">de coleta </w:t>
      </w:r>
      <w:r w:rsidR="006520D0">
        <w:rPr>
          <w:rFonts w:ascii="Arial" w:hAnsi="Arial"/>
          <w:sz w:val="18"/>
          <w:szCs w:val="18"/>
          <w:lang w:val="pt-BR"/>
        </w:rPr>
        <w:t xml:space="preserve">na matriz da XPTO </w:t>
      </w:r>
      <w:r>
        <w:rPr>
          <w:rFonts w:ascii="Arial" w:hAnsi="Arial"/>
          <w:sz w:val="18"/>
          <w:szCs w:val="18"/>
          <w:lang w:val="pt-BR"/>
        </w:rPr>
        <w:t>que verifica se há produtos a serem entregues em cada posto de coleta</w:t>
      </w:r>
      <w:r w:rsidR="007F1020">
        <w:rPr>
          <w:rFonts w:ascii="Arial" w:hAnsi="Arial"/>
          <w:sz w:val="18"/>
          <w:szCs w:val="18"/>
          <w:lang w:val="pt-BR"/>
        </w:rPr>
        <w:t xml:space="preserve"> (cada posto possui um sistema receptor de coleta)</w:t>
      </w:r>
      <w:r>
        <w:rPr>
          <w:rFonts w:ascii="Arial" w:hAnsi="Arial"/>
          <w:sz w:val="18"/>
          <w:szCs w:val="18"/>
          <w:lang w:val="pt-BR"/>
        </w:rPr>
        <w:t xml:space="preserve">, conectando </w:t>
      </w:r>
      <w:r w:rsidR="00434668">
        <w:rPr>
          <w:rFonts w:ascii="Arial" w:hAnsi="Arial"/>
          <w:sz w:val="18"/>
          <w:szCs w:val="18"/>
          <w:lang w:val="pt-BR"/>
        </w:rPr>
        <w:t xml:space="preserve">sequencialmente </w:t>
      </w:r>
      <w:r>
        <w:rPr>
          <w:rFonts w:ascii="Arial" w:hAnsi="Arial"/>
          <w:sz w:val="18"/>
          <w:szCs w:val="18"/>
          <w:lang w:val="pt-BR"/>
        </w:rPr>
        <w:t>em cada um dos postos</w:t>
      </w:r>
      <w:r w:rsidR="007F1020">
        <w:rPr>
          <w:rFonts w:ascii="Arial" w:hAnsi="Arial"/>
          <w:sz w:val="18"/>
          <w:szCs w:val="18"/>
          <w:lang w:val="pt-BR"/>
        </w:rPr>
        <w:t xml:space="preserve"> (no sistema receptor)</w:t>
      </w:r>
      <w:r>
        <w:rPr>
          <w:rFonts w:ascii="Arial" w:hAnsi="Arial"/>
          <w:sz w:val="18"/>
          <w:szCs w:val="18"/>
          <w:lang w:val="pt-BR"/>
        </w:rPr>
        <w:t xml:space="preserve"> a cada </w:t>
      </w:r>
      <w:r w:rsidR="00434668">
        <w:rPr>
          <w:rFonts w:ascii="Arial" w:hAnsi="Arial"/>
          <w:sz w:val="18"/>
          <w:szCs w:val="18"/>
          <w:lang w:val="pt-BR"/>
        </w:rPr>
        <w:t>30 minutos</w:t>
      </w:r>
      <w:r w:rsidR="00CD3D8C">
        <w:rPr>
          <w:rFonts w:ascii="Arial" w:hAnsi="Arial"/>
          <w:sz w:val="18"/>
          <w:szCs w:val="18"/>
          <w:lang w:val="pt-BR"/>
        </w:rPr>
        <w:t>, e disponibilizando os dados para os setores financeiro e de transporte</w:t>
      </w:r>
      <w:r>
        <w:rPr>
          <w:rFonts w:ascii="Arial" w:hAnsi="Arial"/>
          <w:sz w:val="18"/>
          <w:szCs w:val="18"/>
          <w:lang w:val="pt-BR"/>
        </w:rPr>
        <w:t>.</w:t>
      </w:r>
      <w:r w:rsidR="00434668">
        <w:rPr>
          <w:rFonts w:ascii="Arial" w:hAnsi="Arial"/>
          <w:sz w:val="18"/>
          <w:szCs w:val="18"/>
          <w:lang w:val="pt-BR"/>
        </w:rPr>
        <w:t xml:space="preserve"> Muitas vezes o link de conexão está lento e o sistema central acaba demorando mais de 2 horas para fazer a checagem de coleta em todos os postos. Consequentemente, não há tempo hábil para </w:t>
      </w:r>
      <w:r w:rsidR="004303AA">
        <w:rPr>
          <w:rFonts w:ascii="Arial" w:hAnsi="Arial"/>
          <w:sz w:val="18"/>
          <w:szCs w:val="18"/>
          <w:lang w:val="pt-BR"/>
        </w:rPr>
        <w:t>transportar o produto do cliente em um prazo de 24 horas.</w:t>
      </w:r>
    </w:p>
    <w:p w14:paraId="14856ECF" w14:textId="03263924" w:rsidR="004303AA" w:rsidRDefault="00CF4420" w:rsidP="00434668">
      <w:pPr>
        <w:ind w:firstLine="720"/>
        <w:jc w:val="both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 xml:space="preserve">O CEO e o CIO da XPTO formaram </w:t>
      </w:r>
      <w:r w:rsidR="009E7470">
        <w:rPr>
          <w:rFonts w:ascii="Arial" w:hAnsi="Arial"/>
          <w:sz w:val="18"/>
          <w:szCs w:val="18"/>
          <w:lang w:val="pt-BR"/>
        </w:rPr>
        <w:t>um</w:t>
      </w:r>
      <w:r w:rsidR="003444C9">
        <w:rPr>
          <w:rFonts w:ascii="Arial" w:hAnsi="Arial"/>
          <w:sz w:val="18"/>
          <w:szCs w:val="18"/>
          <w:lang w:val="pt-BR"/>
        </w:rPr>
        <w:t xml:space="preserve"> </w:t>
      </w:r>
      <w:r w:rsidR="004A3007">
        <w:rPr>
          <w:rFonts w:ascii="Arial" w:hAnsi="Arial"/>
          <w:sz w:val="18"/>
          <w:szCs w:val="18"/>
          <w:lang w:val="pt-BR"/>
        </w:rPr>
        <w:t>C</w:t>
      </w:r>
      <w:r w:rsidR="00794EDF">
        <w:rPr>
          <w:rFonts w:ascii="Arial" w:hAnsi="Arial"/>
          <w:sz w:val="18"/>
          <w:szCs w:val="18"/>
          <w:lang w:val="pt-BR"/>
        </w:rPr>
        <w:t>omitê</w:t>
      </w:r>
      <w:r>
        <w:rPr>
          <w:rFonts w:ascii="Arial" w:hAnsi="Arial"/>
          <w:sz w:val="18"/>
          <w:szCs w:val="18"/>
          <w:lang w:val="pt-BR"/>
        </w:rPr>
        <w:t xml:space="preserve"> </w:t>
      </w:r>
      <w:r w:rsidR="004A3007">
        <w:rPr>
          <w:rFonts w:ascii="Arial" w:hAnsi="Arial"/>
          <w:sz w:val="18"/>
          <w:szCs w:val="18"/>
          <w:lang w:val="pt-BR"/>
        </w:rPr>
        <w:t>E</w:t>
      </w:r>
      <w:r>
        <w:rPr>
          <w:rFonts w:ascii="Arial" w:hAnsi="Arial"/>
          <w:sz w:val="18"/>
          <w:szCs w:val="18"/>
          <w:lang w:val="pt-BR"/>
        </w:rPr>
        <w:t>stratégico (formado</w:t>
      </w:r>
      <w:r w:rsidR="003444C9">
        <w:rPr>
          <w:rFonts w:ascii="Arial" w:hAnsi="Arial"/>
          <w:sz w:val="18"/>
          <w:szCs w:val="18"/>
          <w:lang w:val="pt-BR"/>
        </w:rPr>
        <w:t xml:space="preserve"> </w:t>
      </w:r>
      <w:r>
        <w:rPr>
          <w:rFonts w:ascii="Arial" w:hAnsi="Arial"/>
          <w:sz w:val="18"/>
          <w:szCs w:val="18"/>
          <w:lang w:val="pt-BR"/>
        </w:rPr>
        <w:t xml:space="preserve">pelo CIO e </w:t>
      </w:r>
      <w:r w:rsidR="00794EDF">
        <w:rPr>
          <w:rFonts w:ascii="Arial" w:hAnsi="Arial"/>
          <w:sz w:val="18"/>
          <w:szCs w:val="18"/>
          <w:lang w:val="pt-BR"/>
        </w:rPr>
        <w:t>alguns</w:t>
      </w:r>
      <w:r>
        <w:rPr>
          <w:rFonts w:ascii="Arial" w:hAnsi="Arial"/>
          <w:sz w:val="18"/>
          <w:szCs w:val="18"/>
          <w:lang w:val="pt-BR"/>
        </w:rPr>
        <w:t xml:space="preserve"> </w:t>
      </w:r>
      <w:r w:rsidR="009E7470">
        <w:rPr>
          <w:rFonts w:ascii="Arial" w:hAnsi="Arial"/>
          <w:sz w:val="18"/>
          <w:szCs w:val="18"/>
          <w:lang w:val="pt-BR"/>
        </w:rPr>
        <w:t>gerente</w:t>
      </w:r>
      <w:r w:rsidR="00794EDF">
        <w:rPr>
          <w:rFonts w:ascii="Arial" w:hAnsi="Arial"/>
          <w:sz w:val="18"/>
          <w:szCs w:val="18"/>
          <w:lang w:val="pt-BR"/>
        </w:rPr>
        <w:t>s</w:t>
      </w:r>
      <w:r>
        <w:rPr>
          <w:rFonts w:ascii="Arial" w:hAnsi="Arial"/>
          <w:sz w:val="18"/>
          <w:szCs w:val="18"/>
          <w:lang w:val="pt-BR"/>
        </w:rPr>
        <w:t xml:space="preserve"> d</w:t>
      </w:r>
      <w:r w:rsidR="00794EDF">
        <w:rPr>
          <w:rFonts w:ascii="Arial" w:hAnsi="Arial"/>
          <w:sz w:val="18"/>
          <w:szCs w:val="18"/>
          <w:lang w:val="pt-BR"/>
        </w:rPr>
        <w:t>e</w:t>
      </w:r>
      <w:r>
        <w:rPr>
          <w:rFonts w:ascii="Arial" w:hAnsi="Arial"/>
          <w:sz w:val="18"/>
          <w:szCs w:val="18"/>
          <w:lang w:val="pt-BR"/>
        </w:rPr>
        <w:t xml:space="preserve"> </w:t>
      </w:r>
      <w:r w:rsidR="009E7470">
        <w:rPr>
          <w:rFonts w:ascii="Arial" w:hAnsi="Arial"/>
          <w:sz w:val="18"/>
          <w:szCs w:val="18"/>
          <w:lang w:val="pt-BR"/>
        </w:rPr>
        <w:t>ne</w:t>
      </w:r>
      <w:r w:rsidR="00794EDF">
        <w:rPr>
          <w:rFonts w:ascii="Arial" w:hAnsi="Arial"/>
          <w:sz w:val="18"/>
          <w:szCs w:val="18"/>
          <w:lang w:val="pt-BR"/>
        </w:rPr>
        <w:t>g</w:t>
      </w:r>
      <w:r w:rsidR="009E7470">
        <w:rPr>
          <w:rFonts w:ascii="Arial" w:hAnsi="Arial"/>
          <w:sz w:val="18"/>
          <w:szCs w:val="18"/>
          <w:lang w:val="pt-BR"/>
        </w:rPr>
        <w:t>ócio</w:t>
      </w:r>
      <w:r>
        <w:rPr>
          <w:rFonts w:ascii="Arial" w:hAnsi="Arial"/>
          <w:sz w:val="18"/>
          <w:szCs w:val="18"/>
          <w:lang w:val="pt-BR"/>
        </w:rPr>
        <w:t>)</w:t>
      </w:r>
      <w:r w:rsidR="00794EDF">
        <w:rPr>
          <w:rFonts w:ascii="Arial" w:hAnsi="Arial"/>
          <w:sz w:val="18"/>
          <w:szCs w:val="18"/>
          <w:lang w:val="pt-BR"/>
        </w:rPr>
        <w:t>,</w:t>
      </w:r>
      <w:r>
        <w:rPr>
          <w:rFonts w:ascii="Arial" w:hAnsi="Arial"/>
          <w:sz w:val="18"/>
          <w:szCs w:val="18"/>
          <w:lang w:val="pt-BR"/>
        </w:rPr>
        <w:t xml:space="preserve"> um </w:t>
      </w:r>
      <w:r w:rsidR="004A3007">
        <w:rPr>
          <w:rFonts w:ascii="Arial" w:hAnsi="Arial"/>
          <w:sz w:val="18"/>
          <w:szCs w:val="18"/>
          <w:lang w:val="pt-BR"/>
        </w:rPr>
        <w:t>C</w:t>
      </w:r>
      <w:r>
        <w:rPr>
          <w:rFonts w:ascii="Arial" w:hAnsi="Arial"/>
          <w:sz w:val="18"/>
          <w:szCs w:val="18"/>
          <w:lang w:val="pt-BR"/>
        </w:rPr>
        <w:t xml:space="preserve">omitê </w:t>
      </w:r>
      <w:r w:rsidR="004A3007">
        <w:rPr>
          <w:rFonts w:ascii="Arial" w:hAnsi="Arial"/>
          <w:sz w:val="18"/>
          <w:szCs w:val="18"/>
          <w:lang w:val="pt-BR"/>
        </w:rPr>
        <w:t>T</w:t>
      </w:r>
      <w:r>
        <w:rPr>
          <w:rFonts w:ascii="Arial" w:hAnsi="Arial"/>
          <w:sz w:val="18"/>
          <w:szCs w:val="18"/>
          <w:lang w:val="pt-BR"/>
        </w:rPr>
        <w:t>ecnológico (formado pelo CIO e alguns membros de sua equipe)</w:t>
      </w:r>
      <w:r w:rsidR="00794EDF">
        <w:rPr>
          <w:rFonts w:ascii="Arial" w:hAnsi="Arial"/>
          <w:sz w:val="18"/>
          <w:szCs w:val="18"/>
          <w:lang w:val="pt-BR"/>
        </w:rPr>
        <w:t xml:space="preserve"> e um </w:t>
      </w:r>
      <w:r w:rsidR="004A3007">
        <w:rPr>
          <w:rFonts w:ascii="Arial" w:hAnsi="Arial"/>
          <w:sz w:val="18"/>
          <w:szCs w:val="18"/>
          <w:lang w:val="pt-BR"/>
        </w:rPr>
        <w:t>C</w:t>
      </w:r>
      <w:r w:rsidR="00794EDF">
        <w:rPr>
          <w:rFonts w:ascii="Arial" w:hAnsi="Arial"/>
          <w:sz w:val="18"/>
          <w:szCs w:val="18"/>
          <w:lang w:val="pt-BR"/>
        </w:rPr>
        <w:t xml:space="preserve">omitê </w:t>
      </w:r>
      <w:r w:rsidR="004A3007">
        <w:rPr>
          <w:rFonts w:ascii="Arial" w:hAnsi="Arial"/>
          <w:sz w:val="18"/>
          <w:szCs w:val="18"/>
          <w:lang w:val="pt-BR"/>
        </w:rPr>
        <w:t>G</w:t>
      </w:r>
      <w:r w:rsidR="00794EDF">
        <w:rPr>
          <w:rFonts w:ascii="Arial" w:hAnsi="Arial"/>
          <w:sz w:val="18"/>
          <w:szCs w:val="18"/>
          <w:lang w:val="pt-BR"/>
        </w:rPr>
        <w:t>eral (formado pela direção geral</w:t>
      </w:r>
      <w:r w:rsidR="004A3007">
        <w:rPr>
          <w:rFonts w:ascii="Arial" w:hAnsi="Arial"/>
          <w:sz w:val="18"/>
          <w:szCs w:val="18"/>
          <w:lang w:val="pt-BR"/>
        </w:rPr>
        <w:t>,</w:t>
      </w:r>
      <w:r w:rsidR="00534C36">
        <w:rPr>
          <w:rFonts w:ascii="Arial" w:hAnsi="Arial"/>
          <w:sz w:val="18"/>
          <w:szCs w:val="18"/>
          <w:lang w:val="pt-BR"/>
        </w:rPr>
        <w:t xml:space="preserve"> </w:t>
      </w:r>
      <w:r w:rsidR="00794EDF">
        <w:rPr>
          <w:rFonts w:ascii="Arial" w:hAnsi="Arial"/>
          <w:sz w:val="18"/>
          <w:szCs w:val="18"/>
          <w:lang w:val="pt-BR"/>
        </w:rPr>
        <w:t>gerentes</w:t>
      </w:r>
      <w:r w:rsidR="004A3007">
        <w:rPr>
          <w:rFonts w:ascii="Arial" w:hAnsi="Arial"/>
          <w:sz w:val="18"/>
          <w:szCs w:val="18"/>
          <w:lang w:val="pt-BR"/>
        </w:rPr>
        <w:t xml:space="preserve"> </w:t>
      </w:r>
      <w:r w:rsidR="00534C36">
        <w:rPr>
          <w:rFonts w:ascii="Arial" w:hAnsi="Arial"/>
          <w:sz w:val="18"/>
          <w:szCs w:val="18"/>
          <w:lang w:val="pt-BR"/>
        </w:rPr>
        <w:t xml:space="preserve">das unidades de negócio </w:t>
      </w:r>
      <w:r w:rsidR="004A3007">
        <w:rPr>
          <w:rFonts w:ascii="Arial" w:hAnsi="Arial"/>
          <w:sz w:val="18"/>
          <w:szCs w:val="18"/>
          <w:lang w:val="pt-BR"/>
        </w:rPr>
        <w:t>e o CIO</w:t>
      </w:r>
      <w:r w:rsidR="00794EDF">
        <w:rPr>
          <w:rFonts w:ascii="Arial" w:hAnsi="Arial"/>
          <w:sz w:val="18"/>
          <w:szCs w:val="18"/>
          <w:lang w:val="pt-BR"/>
        </w:rPr>
        <w:t>).</w:t>
      </w:r>
      <w:r w:rsidR="004A3007">
        <w:rPr>
          <w:rFonts w:ascii="Arial" w:hAnsi="Arial"/>
          <w:sz w:val="18"/>
          <w:szCs w:val="18"/>
          <w:lang w:val="pt-BR"/>
        </w:rPr>
        <w:t xml:space="preserve"> </w:t>
      </w:r>
      <w:r w:rsidR="00E80AFB">
        <w:rPr>
          <w:rFonts w:ascii="Arial" w:hAnsi="Arial"/>
          <w:sz w:val="18"/>
          <w:szCs w:val="18"/>
          <w:lang w:val="pt-BR"/>
        </w:rPr>
        <w:t>O Comitê geral define o papel da TI dentro do negócio</w:t>
      </w:r>
      <w:r w:rsidR="002E7000">
        <w:rPr>
          <w:rFonts w:ascii="Arial" w:hAnsi="Arial"/>
          <w:sz w:val="18"/>
          <w:szCs w:val="18"/>
          <w:lang w:val="pt-BR"/>
        </w:rPr>
        <w:t xml:space="preserve"> </w:t>
      </w:r>
      <w:r w:rsidR="00434D53">
        <w:rPr>
          <w:rFonts w:ascii="Arial" w:hAnsi="Arial"/>
          <w:sz w:val="18"/>
          <w:szCs w:val="18"/>
          <w:lang w:val="pt-BR"/>
        </w:rPr>
        <w:t>e prioriza os investimentos relacionados</w:t>
      </w:r>
      <w:r w:rsidR="00C86175">
        <w:rPr>
          <w:rFonts w:ascii="Arial" w:hAnsi="Arial"/>
          <w:sz w:val="18"/>
          <w:szCs w:val="18"/>
          <w:lang w:val="pt-BR"/>
        </w:rPr>
        <w:t>. O Comitê Tecnológico define a arquitetura</w:t>
      </w:r>
      <w:r w:rsidR="002021AC">
        <w:rPr>
          <w:rFonts w:ascii="Arial" w:hAnsi="Arial"/>
          <w:sz w:val="18"/>
          <w:szCs w:val="18"/>
          <w:lang w:val="pt-BR"/>
        </w:rPr>
        <w:t xml:space="preserve">, a infraestrutura e a necessidade de </w:t>
      </w:r>
      <w:r w:rsidR="00611524">
        <w:rPr>
          <w:rFonts w:ascii="Arial" w:hAnsi="Arial"/>
          <w:sz w:val="18"/>
          <w:szCs w:val="18"/>
          <w:lang w:val="pt-BR"/>
        </w:rPr>
        <w:t>aplicações. O Comitê estratégico auxilia o Comitê Tecnológico em relação à arquitetura e à necessidade de aplicações.</w:t>
      </w:r>
    </w:p>
    <w:p w14:paraId="48E2DD06" w14:textId="3B485F03" w:rsidR="009331AC" w:rsidRDefault="009331AC" w:rsidP="00434668">
      <w:pPr>
        <w:ind w:firstLine="720"/>
        <w:jc w:val="both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  <w:lang w:val="pt-BR"/>
        </w:rPr>
        <w:t xml:space="preserve">Por fim, foi desenvolvido um novo sistema central de coleta </w:t>
      </w:r>
      <w:r w:rsidR="00FC3AAD">
        <w:rPr>
          <w:rFonts w:ascii="Arial" w:hAnsi="Arial"/>
          <w:sz w:val="18"/>
          <w:szCs w:val="18"/>
          <w:lang w:val="pt-BR"/>
        </w:rPr>
        <w:t>que recebe de cada posto os dados de coleta</w:t>
      </w:r>
      <w:r w:rsidR="00F420B2">
        <w:rPr>
          <w:rFonts w:ascii="Arial" w:hAnsi="Arial"/>
          <w:sz w:val="18"/>
          <w:szCs w:val="18"/>
          <w:lang w:val="pt-BR"/>
        </w:rPr>
        <w:t xml:space="preserve"> (cada posto possui um sistema transmissor de coleta)</w:t>
      </w:r>
      <w:r w:rsidR="00FC3AAD">
        <w:rPr>
          <w:rFonts w:ascii="Arial" w:hAnsi="Arial"/>
          <w:sz w:val="18"/>
          <w:szCs w:val="18"/>
          <w:lang w:val="pt-BR"/>
        </w:rPr>
        <w:t>. Cada posto envia os dados de coleta assim que um cliente entrega o produto a ser transportado. Para isso</w:t>
      </w:r>
      <w:r w:rsidR="00434D53">
        <w:rPr>
          <w:rFonts w:ascii="Arial" w:hAnsi="Arial"/>
          <w:sz w:val="18"/>
          <w:szCs w:val="18"/>
          <w:lang w:val="pt-BR"/>
        </w:rPr>
        <w:t xml:space="preserve">, a XPTO contratou um link rápido de Internet para cada posto de coleta e um DataCenter </w:t>
      </w:r>
      <w:r w:rsidR="00A5139E">
        <w:rPr>
          <w:rFonts w:ascii="Arial" w:hAnsi="Arial"/>
          <w:sz w:val="18"/>
          <w:szCs w:val="18"/>
          <w:lang w:val="pt-BR"/>
        </w:rPr>
        <w:t xml:space="preserve">na nuvem </w:t>
      </w:r>
      <w:r w:rsidR="00434D53">
        <w:rPr>
          <w:rFonts w:ascii="Arial" w:hAnsi="Arial"/>
          <w:sz w:val="18"/>
          <w:szCs w:val="18"/>
          <w:lang w:val="pt-BR"/>
        </w:rPr>
        <w:t>para hospedar o novo sistema central de coleta.</w:t>
      </w:r>
    </w:p>
    <w:p w14:paraId="739B6CDA" w14:textId="42AEA937" w:rsidR="00DB67D8" w:rsidRDefault="00DB67D8" w:rsidP="00DB246B">
      <w:pPr>
        <w:jc w:val="both"/>
        <w:rPr>
          <w:rFonts w:ascii="Arial" w:hAnsi="Arial"/>
          <w:b/>
          <w:sz w:val="18"/>
          <w:szCs w:val="18"/>
          <w:lang w:val="pt-BR"/>
        </w:rPr>
      </w:pPr>
    </w:p>
    <w:p w14:paraId="5EDC5842" w14:textId="77777777" w:rsidR="00E15E96" w:rsidRDefault="00E15E96" w:rsidP="00DB246B">
      <w:pPr>
        <w:jc w:val="both"/>
        <w:rPr>
          <w:rFonts w:ascii="Arial" w:hAnsi="Arial"/>
          <w:b/>
          <w:sz w:val="18"/>
          <w:szCs w:val="18"/>
          <w:lang w:val="pt-BR"/>
        </w:rPr>
      </w:pPr>
    </w:p>
    <w:p w14:paraId="228DF7DB" w14:textId="0083BCFB" w:rsidR="00434668" w:rsidRPr="00E15E96" w:rsidRDefault="00E15E96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E15E96">
        <w:rPr>
          <w:rFonts w:ascii="Arial" w:hAnsi="Arial"/>
          <w:sz w:val="18"/>
          <w:szCs w:val="18"/>
        </w:rPr>
        <w:t>Desenhe a matriz de arranjo da XPTO.</w:t>
      </w:r>
    </w:p>
    <w:p w14:paraId="5DEF0A41" w14:textId="77777777" w:rsidR="00E15E96" w:rsidRDefault="00E15E96" w:rsidP="00DB246B">
      <w:pPr>
        <w:jc w:val="both"/>
        <w:rPr>
          <w:rFonts w:ascii="Arial" w:hAnsi="Arial"/>
          <w:b/>
          <w:sz w:val="18"/>
          <w:szCs w:val="18"/>
          <w:lang w:val="pt-BR"/>
        </w:rPr>
      </w:pPr>
    </w:p>
    <w:tbl>
      <w:tblPr>
        <w:tblStyle w:val="Tabelacomgrade"/>
        <w:tblW w:w="10810" w:type="dxa"/>
        <w:tblLook w:val="04A0" w:firstRow="1" w:lastRow="0" w:firstColumn="1" w:lastColumn="0" w:noHBand="0" w:noVBand="1"/>
      </w:tblPr>
      <w:tblGrid>
        <w:gridCol w:w="2195"/>
        <w:gridCol w:w="861"/>
        <w:gridCol w:w="862"/>
        <w:gridCol w:w="861"/>
        <w:gridCol w:w="862"/>
        <w:gridCol w:w="861"/>
        <w:gridCol w:w="862"/>
        <w:gridCol w:w="861"/>
        <w:gridCol w:w="862"/>
        <w:gridCol w:w="861"/>
        <w:gridCol w:w="862"/>
      </w:tblGrid>
      <w:tr w:rsidR="00DB67D8" w:rsidRPr="00A61008" w14:paraId="37A75052" w14:textId="77777777" w:rsidTr="00DB67D8">
        <w:tc>
          <w:tcPr>
            <w:tcW w:w="2195" w:type="dxa"/>
            <w:vMerge w:val="restart"/>
          </w:tcPr>
          <w:p w14:paraId="75637C8F" w14:textId="77777777" w:rsidR="00DB67D8" w:rsidRDefault="00DB67D8" w:rsidP="00DB67D8">
            <w:pPr>
              <w:jc w:val="right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Decisão</w:t>
            </w:r>
          </w:p>
          <w:p w14:paraId="4690ECF2" w14:textId="10E74986" w:rsidR="00DB67D8" w:rsidRDefault="00DB67D8" w:rsidP="00DB67D8">
            <w:pPr>
              <w:rPr>
                <w:rFonts w:ascii="Arial" w:hAnsi="Arial"/>
                <w:b/>
                <w:sz w:val="18"/>
                <w:szCs w:val="18"/>
                <w:lang w:val="pt-BR"/>
              </w:rPr>
            </w:pPr>
          </w:p>
          <w:p w14:paraId="13FC6429" w14:textId="77777777" w:rsidR="00DB67D8" w:rsidRDefault="00DB67D8" w:rsidP="00DB67D8">
            <w:pPr>
              <w:rPr>
                <w:rFonts w:ascii="Arial" w:hAnsi="Arial"/>
                <w:b/>
                <w:sz w:val="18"/>
                <w:szCs w:val="18"/>
                <w:lang w:val="pt-BR"/>
              </w:rPr>
            </w:pPr>
          </w:p>
          <w:p w14:paraId="794A2BBF" w14:textId="1657EFA3" w:rsidR="00DB67D8" w:rsidRDefault="00DB67D8" w:rsidP="00DB67D8">
            <w:pPr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Arquétipo</w:t>
            </w:r>
          </w:p>
        </w:tc>
        <w:tc>
          <w:tcPr>
            <w:tcW w:w="1723" w:type="dxa"/>
            <w:gridSpan w:val="2"/>
          </w:tcPr>
          <w:p w14:paraId="2D7D49AE" w14:textId="1C789427" w:rsidR="00DB67D8" w:rsidRDefault="00DB67D8" w:rsidP="00DB246B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Princípios de TI</w:t>
            </w:r>
          </w:p>
        </w:tc>
        <w:tc>
          <w:tcPr>
            <w:tcW w:w="1723" w:type="dxa"/>
            <w:gridSpan w:val="2"/>
          </w:tcPr>
          <w:p w14:paraId="3A806576" w14:textId="2819633F" w:rsidR="00DB67D8" w:rsidRDefault="00DB67D8" w:rsidP="00DB246B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Arquitetura de TI</w:t>
            </w:r>
          </w:p>
        </w:tc>
        <w:tc>
          <w:tcPr>
            <w:tcW w:w="1723" w:type="dxa"/>
            <w:gridSpan w:val="2"/>
          </w:tcPr>
          <w:p w14:paraId="6AC1441E" w14:textId="6AA34CDA" w:rsidR="00DB67D8" w:rsidRDefault="00DB67D8" w:rsidP="00DB246B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Estratégia de Infraestrutura de TI</w:t>
            </w:r>
          </w:p>
        </w:tc>
        <w:tc>
          <w:tcPr>
            <w:tcW w:w="1723" w:type="dxa"/>
            <w:gridSpan w:val="2"/>
          </w:tcPr>
          <w:p w14:paraId="135F3474" w14:textId="610E105D" w:rsidR="00DB67D8" w:rsidRDefault="00DB67D8" w:rsidP="00DB246B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Necessidade de aplicações de negócio</w:t>
            </w:r>
          </w:p>
        </w:tc>
        <w:tc>
          <w:tcPr>
            <w:tcW w:w="1723" w:type="dxa"/>
            <w:gridSpan w:val="2"/>
          </w:tcPr>
          <w:p w14:paraId="466BFBCA" w14:textId="6533FC03" w:rsidR="00DB67D8" w:rsidRDefault="00DB67D8" w:rsidP="00DB246B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Investimentos e priorizações de TI</w:t>
            </w:r>
          </w:p>
        </w:tc>
      </w:tr>
      <w:tr w:rsidR="00DB67D8" w14:paraId="025F1415" w14:textId="77777777" w:rsidTr="00287C8B">
        <w:tc>
          <w:tcPr>
            <w:tcW w:w="2195" w:type="dxa"/>
            <w:vMerge/>
          </w:tcPr>
          <w:p w14:paraId="3A73E21E" w14:textId="77777777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2DD18092" w14:textId="516C2933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Contr.</w:t>
            </w:r>
          </w:p>
        </w:tc>
        <w:tc>
          <w:tcPr>
            <w:tcW w:w="862" w:type="dxa"/>
          </w:tcPr>
          <w:p w14:paraId="0AB67510" w14:textId="08426E95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Decis.</w:t>
            </w:r>
          </w:p>
        </w:tc>
        <w:tc>
          <w:tcPr>
            <w:tcW w:w="861" w:type="dxa"/>
          </w:tcPr>
          <w:p w14:paraId="683C9D4B" w14:textId="6A169B64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Contr.</w:t>
            </w:r>
          </w:p>
        </w:tc>
        <w:tc>
          <w:tcPr>
            <w:tcW w:w="862" w:type="dxa"/>
          </w:tcPr>
          <w:p w14:paraId="14B5AA53" w14:textId="005431FC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Decis.</w:t>
            </w:r>
          </w:p>
        </w:tc>
        <w:tc>
          <w:tcPr>
            <w:tcW w:w="861" w:type="dxa"/>
          </w:tcPr>
          <w:p w14:paraId="42C65212" w14:textId="35E8EDC5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Contr.</w:t>
            </w:r>
          </w:p>
        </w:tc>
        <w:tc>
          <w:tcPr>
            <w:tcW w:w="862" w:type="dxa"/>
          </w:tcPr>
          <w:p w14:paraId="1853FEE2" w14:textId="43F664A0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Decis.</w:t>
            </w:r>
          </w:p>
        </w:tc>
        <w:tc>
          <w:tcPr>
            <w:tcW w:w="861" w:type="dxa"/>
          </w:tcPr>
          <w:p w14:paraId="21FA22FA" w14:textId="5E30CE0F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Contr.</w:t>
            </w:r>
          </w:p>
        </w:tc>
        <w:tc>
          <w:tcPr>
            <w:tcW w:w="862" w:type="dxa"/>
          </w:tcPr>
          <w:p w14:paraId="6965D793" w14:textId="115E0193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Decis.</w:t>
            </w:r>
          </w:p>
        </w:tc>
        <w:tc>
          <w:tcPr>
            <w:tcW w:w="861" w:type="dxa"/>
          </w:tcPr>
          <w:p w14:paraId="001D4CF4" w14:textId="5CD099AF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Contr.</w:t>
            </w:r>
          </w:p>
        </w:tc>
        <w:tc>
          <w:tcPr>
            <w:tcW w:w="862" w:type="dxa"/>
          </w:tcPr>
          <w:p w14:paraId="030C1A71" w14:textId="49A4AC29" w:rsidR="00DB67D8" w:rsidRDefault="00DB67D8" w:rsidP="00DB67D8">
            <w:pPr>
              <w:jc w:val="center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Decis.</w:t>
            </w:r>
          </w:p>
        </w:tc>
      </w:tr>
      <w:tr w:rsidR="00DB67D8" w14:paraId="7F0418ED" w14:textId="77777777" w:rsidTr="00695AD0">
        <w:tc>
          <w:tcPr>
            <w:tcW w:w="2195" w:type="dxa"/>
          </w:tcPr>
          <w:p w14:paraId="28C12EC2" w14:textId="77A59D2B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Monarquia de Negócio</w:t>
            </w:r>
          </w:p>
        </w:tc>
        <w:tc>
          <w:tcPr>
            <w:tcW w:w="861" w:type="dxa"/>
          </w:tcPr>
          <w:p w14:paraId="0B8D6DA1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162BA192" w14:textId="66CD353D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04B9E721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22E21065" w14:textId="257B42AF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61F21740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559BA890" w14:textId="7BD2D2E8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1B2D8CF7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4F9E8D27" w14:textId="12A33B7B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23DC8F98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109A0024" w14:textId="14BFF9BD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  <w:tr w:rsidR="00DB67D8" w14:paraId="3BD51078" w14:textId="77777777" w:rsidTr="00E86C44">
        <w:tc>
          <w:tcPr>
            <w:tcW w:w="2195" w:type="dxa"/>
          </w:tcPr>
          <w:p w14:paraId="5B3D309C" w14:textId="144514E8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Monarquia de TI</w:t>
            </w:r>
          </w:p>
        </w:tc>
        <w:tc>
          <w:tcPr>
            <w:tcW w:w="861" w:type="dxa"/>
          </w:tcPr>
          <w:p w14:paraId="7CEB3069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557EBBE5" w14:textId="713AEEE1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15238927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79FB1741" w14:textId="53C25873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7F23046C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30B81B5D" w14:textId="61C80872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02FA7C9B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21FE9747" w14:textId="51F8E0FE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5D00B2AA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3EFE4620" w14:textId="44C1E1D0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  <w:tr w:rsidR="00DB67D8" w14:paraId="14B982DD" w14:textId="77777777" w:rsidTr="005C149C">
        <w:tc>
          <w:tcPr>
            <w:tcW w:w="2195" w:type="dxa"/>
          </w:tcPr>
          <w:p w14:paraId="51D2C893" w14:textId="5A0BCA3D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Feudalismo</w:t>
            </w:r>
          </w:p>
        </w:tc>
        <w:tc>
          <w:tcPr>
            <w:tcW w:w="861" w:type="dxa"/>
          </w:tcPr>
          <w:p w14:paraId="42A0F13F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1E658413" w14:textId="7C1B693B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71E65D94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37888A1F" w14:textId="0715FF0E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2EF7837C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C278A1A" w14:textId="5AB3635B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2682B634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63E9BBD1" w14:textId="283F7BF2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0215DC5F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18D73FDB" w14:textId="593930E6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  <w:tr w:rsidR="00DB67D8" w14:paraId="4B1E1732" w14:textId="77777777" w:rsidTr="004041A7">
        <w:tc>
          <w:tcPr>
            <w:tcW w:w="2195" w:type="dxa"/>
          </w:tcPr>
          <w:p w14:paraId="0E25C90C" w14:textId="3C700667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Federalismo</w:t>
            </w:r>
          </w:p>
        </w:tc>
        <w:tc>
          <w:tcPr>
            <w:tcW w:w="861" w:type="dxa"/>
          </w:tcPr>
          <w:p w14:paraId="53934F97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5A9E84D5" w14:textId="53DC5979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660EC2C2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E5AD76B" w14:textId="31BE2143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4F8259D5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4E06D6E6" w14:textId="10F9857A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29D4E8AE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776F03C7" w14:textId="1EC294D8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0C4060F7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78F0DB68" w14:textId="476151B2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  <w:tr w:rsidR="00DB67D8" w14:paraId="4BCF1EC7" w14:textId="77777777" w:rsidTr="00A1091B">
        <w:tc>
          <w:tcPr>
            <w:tcW w:w="2195" w:type="dxa"/>
          </w:tcPr>
          <w:p w14:paraId="01C562BC" w14:textId="10D7F1B9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Duopólio</w:t>
            </w:r>
          </w:p>
        </w:tc>
        <w:tc>
          <w:tcPr>
            <w:tcW w:w="861" w:type="dxa"/>
          </w:tcPr>
          <w:p w14:paraId="6114686C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C697368" w14:textId="22B050B1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08C95AC2" w14:textId="7B87F23A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447D1D99" w14:textId="2F9BD865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6C08E30A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EE545A0" w14:textId="5D8C5795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606E337E" w14:textId="29648FBC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CACC785" w14:textId="74DD14A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635073BD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5B6EFC3A" w14:textId="1319E41A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  <w:tr w:rsidR="00DB67D8" w14:paraId="4F55CF3D" w14:textId="77777777" w:rsidTr="007C1F7C">
        <w:tc>
          <w:tcPr>
            <w:tcW w:w="2195" w:type="dxa"/>
          </w:tcPr>
          <w:p w14:paraId="0C1BD2C5" w14:textId="15148D85" w:rsidR="00DB67D8" w:rsidRDefault="00DB67D8" w:rsidP="00DB67D8">
            <w:pPr>
              <w:jc w:val="both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Anarquia</w:t>
            </w:r>
          </w:p>
        </w:tc>
        <w:tc>
          <w:tcPr>
            <w:tcW w:w="861" w:type="dxa"/>
          </w:tcPr>
          <w:p w14:paraId="2F49EBDA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22719088" w14:textId="7AF54AF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3CF3B465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79C27763" w14:textId="6476CF18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42470CF4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346B03D5" w14:textId="573FB672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1B02FAE3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87EC764" w14:textId="4B9129F2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1" w:type="dxa"/>
          </w:tcPr>
          <w:p w14:paraId="1E29B95A" w14:textId="77777777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862" w:type="dxa"/>
          </w:tcPr>
          <w:p w14:paraId="02B405F9" w14:textId="0F8FE3FA" w:rsidR="00DB67D8" w:rsidRPr="00D75390" w:rsidRDefault="00DB67D8" w:rsidP="00E80AFB">
            <w:pPr>
              <w:jc w:val="center"/>
              <w:rPr>
                <w:rFonts w:ascii="Arial" w:hAnsi="Arial"/>
                <w:color w:val="0070C0"/>
                <w:sz w:val="18"/>
                <w:szCs w:val="18"/>
                <w:lang w:val="pt-BR"/>
              </w:rPr>
            </w:pPr>
          </w:p>
        </w:tc>
      </w:tr>
    </w:tbl>
    <w:p w14:paraId="35587EA0" w14:textId="77777777" w:rsidR="003444C9" w:rsidRDefault="003444C9" w:rsidP="00DB246B">
      <w:pPr>
        <w:jc w:val="both"/>
        <w:rPr>
          <w:rFonts w:ascii="Arial" w:hAnsi="Arial"/>
          <w:b/>
          <w:sz w:val="18"/>
          <w:szCs w:val="18"/>
          <w:lang w:val="pt-BR"/>
        </w:rPr>
      </w:pPr>
    </w:p>
    <w:p w14:paraId="366897CF" w14:textId="68B1F120" w:rsidR="00E15E96" w:rsidRPr="00E15E96" w:rsidRDefault="00E15E96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E15E96">
        <w:rPr>
          <w:rFonts w:ascii="Arial" w:hAnsi="Arial"/>
          <w:sz w:val="18"/>
          <w:szCs w:val="18"/>
        </w:rPr>
        <w:t>Desenhe através de diagramas de blocos e/ou figuras a antiga arquitetura da XPTO.</w:t>
      </w:r>
    </w:p>
    <w:p w14:paraId="6594B624" w14:textId="58406574" w:rsidR="00E15E96" w:rsidRPr="00E15E96" w:rsidRDefault="00E15E96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E15E96">
        <w:rPr>
          <w:rFonts w:ascii="Arial" w:hAnsi="Arial"/>
          <w:sz w:val="18"/>
          <w:szCs w:val="18"/>
        </w:rPr>
        <w:t>Desenhe através de diagramas de blocos e/ou figuras a nova arquitetura da XPTO.</w:t>
      </w:r>
    </w:p>
    <w:p w14:paraId="12CE289F" w14:textId="447E7993" w:rsidR="00EA2EB2" w:rsidRPr="00E15E96" w:rsidRDefault="007D6569" w:rsidP="00E15E96">
      <w:pPr>
        <w:pStyle w:val="PargrafodaLista"/>
        <w:numPr>
          <w:ilvl w:val="0"/>
          <w:numId w:val="11"/>
        </w:numPr>
        <w:jc w:val="both"/>
        <w:rPr>
          <w:rFonts w:ascii="Arial" w:hAnsi="Arial"/>
          <w:sz w:val="18"/>
          <w:szCs w:val="18"/>
        </w:rPr>
      </w:pPr>
      <w:r w:rsidRPr="007D6569">
        <w:rPr>
          <w:rFonts w:ascii="Arial" w:hAnsi="Arial"/>
          <w:sz w:val="18"/>
          <w:szCs w:val="18"/>
        </w:rPr>
        <w:t>Cite 5 serviços de TI necessários para que a nova arquitetura da XPTO fosse implementada. Explique a funcionalidade desses serviços. Justifique a utilização de cada um desses serviços</w:t>
      </w:r>
      <w:r w:rsidR="00E15E96" w:rsidRPr="00E15E96">
        <w:rPr>
          <w:rFonts w:ascii="Arial" w:hAnsi="Arial"/>
          <w:sz w:val="18"/>
          <w:szCs w:val="18"/>
        </w:rPr>
        <w:t>.</w:t>
      </w:r>
    </w:p>
    <w:p w14:paraId="5383D5DA" w14:textId="21DA5877" w:rsidR="00CE4E09" w:rsidRPr="005E49E7" w:rsidRDefault="00CE4E09" w:rsidP="005E49E7">
      <w:pPr>
        <w:jc w:val="both"/>
        <w:rPr>
          <w:rFonts w:ascii="Arial" w:hAnsi="Arial"/>
          <w:color w:val="0070C0"/>
          <w:sz w:val="18"/>
          <w:szCs w:val="18"/>
        </w:rPr>
      </w:pPr>
    </w:p>
    <w:p w14:paraId="2A826C05" w14:textId="6876D488" w:rsidR="009C4228" w:rsidRDefault="009C4228" w:rsidP="009C4228">
      <w:pPr>
        <w:jc w:val="both"/>
        <w:rPr>
          <w:rFonts w:ascii="Arial" w:hAnsi="Arial"/>
          <w:sz w:val="18"/>
          <w:szCs w:val="18"/>
          <w:lang w:val="pt-BR"/>
        </w:rPr>
      </w:pPr>
    </w:p>
    <w:p w14:paraId="31C441A5" w14:textId="5117216B" w:rsidR="009C4228" w:rsidRDefault="009C4228" w:rsidP="009C4228">
      <w:pPr>
        <w:jc w:val="both"/>
        <w:rPr>
          <w:rFonts w:ascii="Arial" w:hAnsi="Arial"/>
          <w:sz w:val="18"/>
          <w:szCs w:val="18"/>
          <w:lang w:val="pt-BR"/>
        </w:rPr>
      </w:pPr>
    </w:p>
    <w:p w14:paraId="7F69F4D6" w14:textId="77777777" w:rsidR="009C4228" w:rsidRPr="002B526D" w:rsidRDefault="009C4228" w:rsidP="009C4228">
      <w:pPr>
        <w:jc w:val="both"/>
        <w:rPr>
          <w:rFonts w:ascii="Arial" w:hAnsi="Arial"/>
          <w:sz w:val="18"/>
          <w:szCs w:val="18"/>
          <w:lang w:val="pt-BR"/>
        </w:rPr>
      </w:pPr>
    </w:p>
    <w:sectPr w:rsidR="009C4228" w:rsidRPr="002B526D" w:rsidSect="00005270">
      <w:headerReference w:type="even" r:id="rId7"/>
      <w:headerReference w:type="default" r:id="rId8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E2E9" w14:textId="77777777" w:rsidR="0043498C" w:rsidRDefault="0043498C" w:rsidP="00DD7AF0">
      <w:r>
        <w:separator/>
      </w:r>
    </w:p>
  </w:endnote>
  <w:endnote w:type="continuationSeparator" w:id="0">
    <w:p w14:paraId="00498401" w14:textId="77777777" w:rsidR="0043498C" w:rsidRDefault="0043498C" w:rsidP="00DD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97F4" w14:textId="77777777" w:rsidR="0043498C" w:rsidRDefault="0043498C" w:rsidP="00DD7AF0">
      <w:r>
        <w:separator/>
      </w:r>
    </w:p>
  </w:footnote>
  <w:footnote w:type="continuationSeparator" w:id="0">
    <w:p w14:paraId="0D003040" w14:textId="77777777" w:rsidR="0043498C" w:rsidRDefault="0043498C" w:rsidP="00DD7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1415" w14:textId="77777777" w:rsidR="00534076" w:rsidRDefault="00534076" w:rsidP="008B40A4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832981" w14:textId="77777777" w:rsidR="00534076" w:rsidRDefault="00534076" w:rsidP="00DD7AF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CF21" w14:textId="77777777" w:rsidR="00534076" w:rsidRDefault="00534076" w:rsidP="008B40A4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ED7FAA7" w14:textId="77777777" w:rsidR="00534076" w:rsidRDefault="00534076" w:rsidP="00DD7AF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2C7"/>
    <w:multiLevelType w:val="hybridMultilevel"/>
    <w:tmpl w:val="1A36CB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B67C6"/>
    <w:multiLevelType w:val="hybridMultilevel"/>
    <w:tmpl w:val="B082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966"/>
    <w:multiLevelType w:val="hybridMultilevel"/>
    <w:tmpl w:val="167843A6"/>
    <w:lvl w:ilvl="0" w:tplc="AFD03B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5772"/>
    <w:multiLevelType w:val="hybridMultilevel"/>
    <w:tmpl w:val="D21C13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D7D2A"/>
    <w:multiLevelType w:val="hybridMultilevel"/>
    <w:tmpl w:val="325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4"/>
    <w:multiLevelType w:val="hybridMultilevel"/>
    <w:tmpl w:val="F7AAD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92FAE"/>
    <w:multiLevelType w:val="hybridMultilevel"/>
    <w:tmpl w:val="B40CA2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95C64"/>
    <w:multiLevelType w:val="hybridMultilevel"/>
    <w:tmpl w:val="4E6883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A0B77"/>
    <w:multiLevelType w:val="hybridMultilevel"/>
    <w:tmpl w:val="1E84F2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DC7081"/>
    <w:multiLevelType w:val="hybridMultilevel"/>
    <w:tmpl w:val="91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D6FE1"/>
    <w:multiLevelType w:val="hybridMultilevel"/>
    <w:tmpl w:val="99AE38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7644216">
    <w:abstractNumId w:val="1"/>
  </w:num>
  <w:num w:numId="2" w16cid:durableId="221068053">
    <w:abstractNumId w:val="4"/>
  </w:num>
  <w:num w:numId="3" w16cid:durableId="1073310950">
    <w:abstractNumId w:val="9"/>
  </w:num>
  <w:num w:numId="4" w16cid:durableId="259526970">
    <w:abstractNumId w:val="10"/>
  </w:num>
  <w:num w:numId="5" w16cid:durableId="1654488437">
    <w:abstractNumId w:val="8"/>
  </w:num>
  <w:num w:numId="6" w16cid:durableId="1520856184">
    <w:abstractNumId w:val="7"/>
  </w:num>
  <w:num w:numId="7" w16cid:durableId="723523610">
    <w:abstractNumId w:val="5"/>
  </w:num>
  <w:num w:numId="8" w16cid:durableId="1312716790">
    <w:abstractNumId w:val="3"/>
  </w:num>
  <w:num w:numId="9" w16cid:durableId="130488855">
    <w:abstractNumId w:val="6"/>
  </w:num>
  <w:num w:numId="10" w16cid:durableId="2095318619">
    <w:abstractNumId w:val="0"/>
  </w:num>
  <w:num w:numId="11" w16cid:durableId="7000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56F"/>
    <w:rsid w:val="00005270"/>
    <w:rsid w:val="00005C58"/>
    <w:rsid w:val="00063677"/>
    <w:rsid w:val="00071C9D"/>
    <w:rsid w:val="00074212"/>
    <w:rsid w:val="0008026F"/>
    <w:rsid w:val="0009255D"/>
    <w:rsid w:val="000B44D2"/>
    <w:rsid w:val="000B6EB8"/>
    <w:rsid w:val="000D2F0C"/>
    <w:rsid w:val="000E1C8D"/>
    <w:rsid w:val="000F38FC"/>
    <w:rsid w:val="000F4F0D"/>
    <w:rsid w:val="000F5301"/>
    <w:rsid w:val="001300D1"/>
    <w:rsid w:val="00160C9B"/>
    <w:rsid w:val="00175D49"/>
    <w:rsid w:val="001A40B5"/>
    <w:rsid w:val="001B152A"/>
    <w:rsid w:val="001B3033"/>
    <w:rsid w:val="001C5014"/>
    <w:rsid w:val="002021AC"/>
    <w:rsid w:val="00202D91"/>
    <w:rsid w:val="00214259"/>
    <w:rsid w:val="0025562D"/>
    <w:rsid w:val="002759AE"/>
    <w:rsid w:val="00281254"/>
    <w:rsid w:val="002B526D"/>
    <w:rsid w:val="002E6C57"/>
    <w:rsid w:val="002E7000"/>
    <w:rsid w:val="002F01F2"/>
    <w:rsid w:val="003149AE"/>
    <w:rsid w:val="00327DB5"/>
    <w:rsid w:val="003444C9"/>
    <w:rsid w:val="00345BF5"/>
    <w:rsid w:val="003522A0"/>
    <w:rsid w:val="003A1E41"/>
    <w:rsid w:val="003B5D44"/>
    <w:rsid w:val="003C0D31"/>
    <w:rsid w:val="003C4655"/>
    <w:rsid w:val="003D31D4"/>
    <w:rsid w:val="003D79DC"/>
    <w:rsid w:val="003E49F1"/>
    <w:rsid w:val="003E7237"/>
    <w:rsid w:val="0041340C"/>
    <w:rsid w:val="0042629E"/>
    <w:rsid w:val="004303AA"/>
    <w:rsid w:val="00431273"/>
    <w:rsid w:val="00434668"/>
    <w:rsid w:val="0043498C"/>
    <w:rsid w:val="00434D53"/>
    <w:rsid w:val="00445851"/>
    <w:rsid w:val="0045002E"/>
    <w:rsid w:val="00454F69"/>
    <w:rsid w:val="0048306A"/>
    <w:rsid w:val="004864BC"/>
    <w:rsid w:val="00486D71"/>
    <w:rsid w:val="00490FE4"/>
    <w:rsid w:val="00492047"/>
    <w:rsid w:val="004A3007"/>
    <w:rsid w:val="004B1021"/>
    <w:rsid w:val="004B2D57"/>
    <w:rsid w:val="004C2352"/>
    <w:rsid w:val="004E2E93"/>
    <w:rsid w:val="004F36D0"/>
    <w:rsid w:val="005027B8"/>
    <w:rsid w:val="0051312E"/>
    <w:rsid w:val="00520FD3"/>
    <w:rsid w:val="005234B8"/>
    <w:rsid w:val="00534076"/>
    <w:rsid w:val="00534C36"/>
    <w:rsid w:val="00547657"/>
    <w:rsid w:val="00583556"/>
    <w:rsid w:val="00583C67"/>
    <w:rsid w:val="005C3F49"/>
    <w:rsid w:val="005C7855"/>
    <w:rsid w:val="005D797F"/>
    <w:rsid w:val="005E49E7"/>
    <w:rsid w:val="005E53DC"/>
    <w:rsid w:val="005E60A2"/>
    <w:rsid w:val="00607E73"/>
    <w:rsid w:val="00611524"/>
    <w:rsid w:val="00612223"/>
    <w:rsid w:val="00614B0F"/>
    <w:rsid w:val="0064466D"/>
    <w:rsid w:val="006520D0"/>
    <w:rsid w:val="006537FA"/>
    <w:rsid w:val="00660E76"/>
    <w:rsid w:val="006823EA"/>
    <w:rsid w:val="00684759"/>
    <w:rsid w:val="006A11CE"/>
    <w:rsid w:val="006B5709"/>
    <w:rsid w:val="006D4299"/>
    <w:rsid w:val="00700184"/>
    <w:rsid w:val="00701D21"/>
    <w:rsid w:val="00714A03"/>
    <w:rsid w:val="00753BA2"/>
    <w:rsid w:val="00763712"/>
    <w:rsid w:val="00773599"/>
    <w:rsid w:val="00783FB6"/>
    <w:rsid w:val="00790B17"/>
    <w:rsid w:val="0079199B"/>
    <w:rsid w:val="00794EDF"/>
    <w:rsid w:val="007B014F"/>
    <w:rsid w:val="007D0888"/>
    <w:rsid w:val="007D421D"/>
    <w:rsid w:val="007D6569"/>
    <w:rsid w:val="007F1020"/>
    <w:rsid w:val="007F5D01"/>
    <w:rsid w:val="00811D51"/>
    <w:rsid w:val="0081314C"/>
    <w:rsid w:val="00814A50"/>
    <w:rsid w:val="00820F9E"/>
    <w:rsid w:val="0082632E"/>
    <w:rsid w:val="008A72B1"/>
    <w:rsid w:val="008B40A4"/>
    <w:rsid w:val="009134F7"/>
    <w:rsid w:val="00926A5E"/>
    <w:rsid w:val="00931671"/>
    <w:rsid w:val="009331AC"/>
    <w:rsid w:val="00945E6F"/>
    <w:rsid w:val="009754D2"/>
    <w:rsid w:val="00992549"/>
    <w:rsid w:val="009A5249"/>
    <w:rsid w:val="009A5EE9"/>
    <w:rsid w:val="009B14AB"/>
    <w:rsid w:val="009C4228"/>
    <w:rsid w:val="009D656F"/>
    <w:rsid w:val="009E7470"/>
    <w:rsid w:val="00A02ED2"/>
    <w:rsid w:val="00A36F81"/>
    <w:rsid w:val="00A5139E"/>
    <w:rsid w:val="00A51C55"/>
    <w:rsid w:val="00A61008"/>
    <w:rsid w:val="00A6220C"/>
    <w:rsid w:val="00A66AD5"/>
    <w:rsid w:val="00A7093B"/>
    <w:rsid w:val="00A85A53"/>
    <w:rsid w:val="00AD630D"/>
    <w:rsid w:val="00AE36FB"/>
    <w:rsid w:val="00AF1E87"/>
    <w:rsid w:val="00B2533E"/>
    <w:rsid w:val="00B27AED"/>
    <w:rsid w:val="00B32C6A"/>
    <w:rsid w:val="00B43132"/>
    <w:rsid w:val="00B445AB"/>
    <w:rsid w:val="00B44795"/>
    <w:rsid w:val="00B6285A"/>
    <w:rsid w:val="00B742A2"/>
    <w:rsid w:val="00B9717F"/>
    <w:rsid w:val="00B97798"/>
    <w:rsid w:val="00BB1894"/>
    <w:rsid w:val="00BB4D32"/>
    <w:rsid w:val="00BE347C"/>
    <w:rsid w:val="00BE5A60"/>
    <w:rsid w:val="00C11396"/>
    <w:rsid w:val="00C1648F"/>
    <w:rsid w:val="00C359BF"/>
    <w:rsid w:val="00C36C98"/>
    <w:rsid w:val="00C43E83"/>
    <w:rsid w:val="00C86175"/>
    <w:rsid w:val="00C90C59"/>
    <w:rsid w:val="00C94543"/>
    <w:rsid w:val="00CB74B2"/>
    <w:rsid w:val="00CD3D8C"/>
    <w:rsid w:val="00CD3E38"/>
    <w:rsid w:val="00CE0C31"/>
    <w:rsid w:val="00CE4E09"/>
    <w:rsid w:val="00CE7A3B"/>
    <w:rsid w:val="00CF4420"/>
    <w:rsid w:val="00D10F28"/>
    <w:rsid w:val="00D168C4"/>
    <w:rsid w:val="00D24E24"/>
    <w:rsid w:val="00D31DA6"/>
    <w:rsid w:val="00D54BAF"/>
    <w:rsid w:val="00D604AD"/>
    <w:rsid w:val="00D73CFF"/>
    <w:rsid w:val="00D73F71"/>
    <w:rsid w:val="00D75390"/>
    <w:rsid w:val="00D93A24"/>
    <w:rsid w:val="00DB1188"/>
    <w:rsid w:val="00DB246B"/>
    <w:rsid w:val="00DB364C"/>
    <w:rsid w:val="00DB67D8"/>
    <w:rsid w:val="00DC0102"/>
    <w:rsid w:val="00DD5A47"/>
    <w:rsid w:val="00DD7AF0"/>
    <w:rsid w:val="00DE4461"/>
    <w:rsid w:val="00DF2906"/>
    <w:rsid w:val="00E02951"/>
    <w:rsid w:val="00E15E96"/>
    <w:rsid w:val="00E42C18"/>
    <w:rsid w:val="00E47C3C"/>
    <w:rsid w:val="00E616B0"/>
    <w:rsid w:val="00E723FA"/>
    <w:rsid w:val="00E80AFB"/>
    <w:rsid w:val="00E82C26"/>
    <w:rsid w:val="00E83CDA"/>
    <w:rsid w:val="00E95B7B"/>
    <w:rsid w:val="00EA2EB2"/>
    <w:rsid w:val="00EA3785"/>
    <w:rsid w:val="00EA7FC2"/>
    <w:rsid w:val="00EB2AA2"/>
    <w:rsid w:val="00EB6279"/>
    <w:rsid w:val="00EF18CF"/>
    <w:rsid w:val="00EF64A1"/>
    <w:rsid w:val="00F02F9C"/>
    <w:rsid w:val="00F03920"/>
    <w:rsid w:val="00F132BB"/>
    <w:rsid w:val="00F25580"/>
    <w:rsid w:val="00F32C3C"/>
    <w:rsid w:val="00F420B2"/>
    <w:rsid w:val="00F428B3"/>
    <w:rsid w:val="00F43899"/>
    <w:rsid w:val="00F46891"/>
    <w:rsid w:val="00F54E04"/>
    <w:rsid w:val="00F76DDD"/>
    <w:rsid w:val="00F8168B"/>
    <w:rsid w:val="00F874FE"/>
    <w:rsid w:val="00FC3AAD"/>
    <w:rsid w:val="00FD0D45"/>
    <w:rsid w:val="00FD1E93"/>
    <w:rsid w:val="00FE1F0C"/>
    <w:rsid w:val="00FE5FAD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9D2873"/>
  <w14:defaultImageDpi w14:val="300"/>
  <w15:docId w15:val="{2105411B-68F3-DD4F-A480-D81AED9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A5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D7AF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7AF0"/>
    <w:rPr>
      <w:sz w:val="24"/>
      <w:szCs w:val="24"/>
      <w:lang w:val="en-US" w:eastAsia="en-US"/>
    </w:rPr>
  </w:style>
  <w:style w:type="character" w:styleId="Nmerodepgina">
    <w:name w:val="page number"/>
    <w:basedOn w:val="Fontepargpadro"/>
    <w:uiPriority w:val="99"/>
    <w:semiHidden/>
    <w:unhideWhenUsed/>
    <w:rsid w:val="00DD7AF0"/>
  </w:style>
  <w:style w:type="paragraph" w:styleId="PargrafodaLista">
    <w:name w:val="List Paragraph"/>
    <w:basedOn w:val="Normal"/>
    <w:uiPriority w:val="34"/>
    <w:qFormat/>
    <w:rsid w:val="008B40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customStyle="1" w:styleId="ColorfulList-Accent11">
    <w:name w:val="Colorful List - Accent 11"/>
    <w:basedOn w:val="Normal"/>
    <w:uiPriority w:val="34"/>
    <w:qFormat/>
    <w:rsid w:val="008B40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8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4543"/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543"/>
    <w:rPr>
      <w:rFonts w:ascii="Times New Roman" w:hAnsi="Times New Roman"/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8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7B7475DBC50A4C95D9E729FE53F82E" ma:contentTypeVersion="5" ma:contentTypeDescription="Crie um novo documento." ma:contentTypeScope="" ma:versionID="eb67cc0dbdd5e0a2d82e6ded8952fe7b">
  <xsd:schema xmlns:xsd="http://www.w3.org/2001/XMLSchema" xmlns:xs="http://www.w3.org/2001/XMLSchema" xmlns:p="http://schemas.microsoft.com/office/2006/metadata/properties" xmlns:ns2="0e5e3643-7598-4ee1-80c6-606dd8f11aae" targetNamespace="http://schemas.microsoft.com/office/2006/metadata/properties" ma:root="true" ma:fieldsID="c7cb177fb9886224b76d22f3912fc801" ns2:_="">
    <xsd:import namespace="0e5e3643-7598-4ee1-80c6-606dd8f11a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e3643-7598-4ee1-80c6-606dd8f11a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ACEA-FF07-4939-AEE9-48115E3C5EB7}"/>
</file>

<file path=customXml/itemProps2.xml><?xml version="1.0" encoding="utf-8"?>
<ds:datastoreItem xmlns:ds="http://schemas.openxmlformats.org/officeDocument/2006/customXml" ds:itemID="{854E0B71-F12E-40C6-9CCB-0D41F980FF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DANILO JOSE CAMOTTI DE OLIVEIRA</cp:lastModifiedBy>
  <cp:revision>184</cp:revision>
  <dcterms:created xsi:type="dcterms:W3CDTF">2015-08-31T20:59:00Z</dcterms:created>
  <dcterms:modified xsi:type="dcterms:W3CDTF">2023-10-16T18:36:00Z</dcterms:modified>
</cp:coreProperties>
</file>