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88" w:lineRule="auto"/>
        <w:jc w:val="center"/>
      </w:pPr>
      <w:r>
        <w:rPr>
          <w:rFonts w:ascii="Times New Roman" w:hAnsi="Times New Roman" w:eastAsia="黑体"/>
          <w:b/>
          <w:sz w:val="36"/>
        </w:rPr>
        <w:t>鞋服全渠道仓储履约可靠性研究</w:t>
        <w:br/>
        <w:t>六章制研究框架与研究设计</w:t>
      </w:r>
    </w:p>
    <w:p>
      <w:pPr>
        <w:spacing w:before="0" w:after="480" w:line="288" w:lineRule="auto"/>
        <w:jc w:val="center"/>
      </w:pPr>
      <w:r>
        <w:rPr>
          <w:rFonts w:ascii="Times New Roman" w:hAnsi="Times New Roman" w:eastAsia="宋体"/>
          <w:sz w:val="24"/>
        </w:rPr>
        <w:t>（版本：2026-02-22）</w:t>
      </w:r>
    </w:p>
    <w:p>
      <w:pPr>
        <w:spacing w:before="0" w:after="480" w:line="288" w:lineRule="auto"/>
        <w:jc w:val="center"/>
      </w:pPr>
      <w:r>
        <w:rPr>
          <w:rFonts w:ascii="Times New Roman" w:hAnsi="Times New Roman" w:eastAsia="宋体"/>
          <w:sz w:val="24"/>
        </w:rPr>
        <w:t>用于：论文写作纲要、章节产出清单与仿真复现口径锁定</w:t>
      </w:r>
    </w:p>
    <w:p>
      <w:r>
        <w:br w:type="page"/>
      </w:r>
    </w:p>
    <w:p>
      <w:pPr>
        <w:pStyle w:val="Heading1"/>
      </w:pPr>
      <w:r>
        <w:t>执行摘要</w:t>
      </w:r>
    </w:p>
    <w:p>
      <w:pPr>
        <w:spacing w:before="0" w:after="120" w:line="300" w:lineRule="auto"/>
      </w:pPr>
      <w:r>
        <w:t>本文以鞋服全渠道仓内拣选与交接/合并节点为研究对象，关注在异构拣货资源（如电动拣货车与人力拣货车）并行作业、且存在拆分订单（split orders）的条件下，交接节点因订单合并同步性不足而产生的排队与阻塞问题。研究主线被固定为：异构资源分配偏差 → 作业时间差 → 拆分订单到达异步（Δt）→ 订单合并同步性占位 → 系统拥堵 → 周转时间尾部延迟（第95百分位或最大完工时间 C_max）与逾期（率/时间）。</w:t>
      </w:r>
    </w:p>
    <w:p>
      <w:pPr>
        <w:spacing w:before="0" w:after="120" w:line="300" w:lineRule="auto"/>
      </w:pPr>
      <w:r>
        <w:t>在模型演进上，研究分为两个层级：模型一通过静态规划或规则化决策实现异构资源分配与拆分决策，在源头压缩到达异步；模型二面向动态到达场景，采用动态订单下达（dynamic order release），并在拥堵阈值触发下调整订单分批与排序（order batching and sequencing）与执行层路径规划，以控制交接节点拥堵并抑制尾部与逾期，同时保持滚动吞吐率不显著劣化。</w:t>
      </w:r>
    </w:p>
    <w:p>
      <w:pPr>
        <w:pStyle w:val="Heading1"/>
      </w:pPr>
      <w:r>
        <w:t>术语对齐与指标口径锁定</w:t>
      </w:r>
    </w:p>
    <w:p>
      <w:pPr>
        <w:spacing w:before="0" w:after="120" w:line="300" w:lineRule="auto"/>
      </w:pPr>
      <w:r>
        <w:t>为避免自造词汇，论文中核心概念严格对齐运筹调度与仓储管理领域常用术语，并在全文保持一致。</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r>
              <w:t>业务/口语表达（不再用于正文）</w:t>
            </w:r>
          </w:p>
        </w:tc>
        <w:tc>
          <w:tcPr>
            <w:tcW w:type="dxa" w:w="3022"/>
          </w:tcPr>
          <w:p>
            <w:r>
              <w:t>标准学术术语（正文用语）</w:t>
            </w:r>
          </w:p>
        </w:tc>
        <w:tc>
          <w:tcPr>
            <w:tcW w:type="dxa" w:w="3022"/>
          </w:tcPr>
          <w:p>
            <w:r>
              <w:t>本文采用的度量/符号（示例）</w:t>
            </w:r>
          </w:p>
        </w:tc>
      </w:tr>
      <w:tr>
        <w:tc>
          <w:tcPr>
            <w:tcW w:type="dxa" w:w="3022"/>
          </w:tcPr>
          <w:p>
            <w:r>
              <w:t>P95 / 长尾效应</w:t>
            </w:r>
          </w:p>
        </w:tc>
        <w:tc>
          <w:tcPr>
            <w:tcW w:type="dxa" w:w="3022"/>
          </w:tcPr>
          <w:p>
            <w:r>
              <w:t>周转时间尾部延迟（Tail latency of order cycle time）或 最大完工时间（Maximum makespan, C_max）</w:t>
            </w:r>
          </w:p>
        </w:tc>
        <w:tc>
          <w:tcPr>
            <w:tcW w:type="dxa" w:w="3022"/>
          </w:tcPr>
          <w:p>
            <w:r>
              <w:t>TL_95 = Quantile_0.95(D_i)；C_max = max(C_i)</w:t>
            </w:r>
          </w:p>
        </w:tc>
      </w:tr>
      <w:tr>
        <w:tc>
          <w:tcPr>
            <w:tcW w:type="dxa" w:w="3022"/>
          </w:tcPr>
          <w:p>
            <w:r>
              <w:t>SLA违约率</w:t>
            </w:r>
          </w:p>
        </w:tc>
        <w:tc>
          <w:tcPr>
            <w:tcW w:type="dxa" w:w="3022"/>
          </w:tcPr>
          <w:p>
            <w:r>
              <w:t>总逾期率（Total tardiness rate）或 总逾期时间（Total tardiness）</w:t>
            </w:r>
          </w:p>
        </w:tc>
        <w:tc>
          <w:tcPr>
            <w:tcW w:type="dxa" w:w="3022"/>
          </w:tcPr>
          <w:p>
            <w:r>
              <w:t>TRate = (1/N)∑I(T_i&gt;0)；TT = ∑T_i</w:t>
            </w:r>
          </w:p>
        </w:tc>
      </w:tr>
      <w:tr>
        <w:tc>
          <w:tcPr>
            <w:tcW w:type="dxa" w:w="3022"/>
          </w:tcPr>
          <w:p>
            <w:r>
              <w:t>任务-资源错配（Mismatch）</w:t>
            </w:r>
          </w:p>
        </w:tc>
        <w:tc>
          <w:tcPr>
            <w:tcW w:type="dxa" w:w="3022"/>
          </w:tcPr>
          <w:p>
            <w:r>
              <w:t>异构资源分配（Heterogeneous resource allocation）/ 分配偏差</w:t>
            </w:r>
          </w:p>
        </w:tc>
        <w:tc>
          <w:tcPr>
            <w:tcW w:type="dxa" w:w="3022"/>
          </w:tcPr>
          <w:p>
            <w:r>
              <w:t>HRA_dev = (1/N)∑I(r_i≠ r̂_i)</w:t>
            </w:r>
          </w:p>
        </w:tc>
      </w:tr>
      <w:tr>
        <w:tc>
          <w:tcPr>
            <w:tcW w:type="dxa" w:w="3022"/>
          </w:tcPr>
          <w:p>
            <w:r>
              <w:t>交接区合并等待</w:t>
            </w:r>
          </w:p>
        </w:tc>
        <w:tc>
          <w:tcPr>
            <w:tcW w:type="dxa" w:w="3022"/>
          </w:tcPr>
          <w:p>
            <w:r>
              <w:t>订单合并同步性（Order consolidation synchronization）/ 同步性占位</w:t>
            </w:r>
          </w:p>
        </w:tc>
        <w:tc>
          <w:tcPr>
            <w:tcW w:type="dxa" w:w="3022"/>
          </w:tcPr>
          <w:p>
            <w:r>
              <w:t>Δt_i；O_IO_i = W_cons_i + T_merge_i</w:t>
            </w:r>
          </w:p>
        </w:tc>
      </w:tr>
      <w:tr>
        <w:tc>
          <w:tcPr>
            <w:tcW w:type="dxa" w:w="3022"/>
          </w:tcPr>
          <w:p>
            <w:r>
              <w:t>派工</w:t>
            </w:r>
          </w:p>
        </w:tc>
        <w:tc>
          <w:tcPr>
            <w:tcW w:type="dxa" w:w="3022"/>
          </w:tcPr>
          <w:p>
            <w:r>
              <w:t>资源指派（Resource assignment）</w:t>
            </w:r>
          </w:p>
        </w:tc>
        <w:tc>
          <w:tcPr>
            <w:tcW w:type="dxa" w:w="3022"/>
          </w:tcPr>
          <w:p>
            <w:r>
              <w:t>x_{i,r}</w:t>
            </w:r>
          </w:p>
        </w:tc>
      </w:tr>
      <w:tr>
        <w:tc>
          <w:tcPr>
            <w:tcW w:type="dxa" w:w="3022"/>
          </w:tcPr>
          <w:p>
            <w:r>
              <w:t>放行</w:t>
            </w:r>
          </w:p>
        </w:tc>
        <w:tc>
          <w:tcPr>
            <w:tcW w:type="dxa" w:w="3022"/>
          </w:tcPr>
          <w:p>
            <w:r>
              <w:t>动态订单下达（Dynamic order release）</w:t>
            </w:r>
          </w:p>
        </w:tc>
        <w:tc>
          <w:tcPr>
            <w:tcW w:type="dxa" w:w="3022"/>
          </w:tcPr>
          <w:p>
            <w:r>
              <w:t>Release(t)</w:t>
            </w:r>
          </w:p>
        </w:tc>
      </w:tr>
      <w:tr>
        <w:tc>
          <w:tcPr>
            <w:tcW w:type="dxa" w:w="3022"/>
          </w:tcPr>
          <w:p>
            <w:r>
              <w:t>分批/波次</w:t>
            </w:r>
          </w:p>
        </w:tc>
        <w:tc>
          <w:tcPr>
            <w:tcW w:type="dxa" w:w="3022"/>
          </w:tcPr>
          <w:p>
            <w:r>
              <w:t>订单分批与排序（Order batching and sequencing）</w:t>
            </w:r>
          </w:p>
        </w:tc>
        <w:tc>
          <w:tcPr>
            <w:tcW w:type="dxa" w:w="3022"/>
          </w:tcPr>
          <w:p>
            <w:r>
              <w:t>K_r；Seq</w:t>
            </w:r>
          </w:p>
        </w:tc>
      </w:tr>
      <w:tr>
        <w:tc>
          <w:tcPr>
            <w:tcW w:type="dxa" w:w="3022"/>
          </w:tcPr>
          <w:p>
            <w:r>
              <w:t>拥堵/堵塞</w:t>
            </w:r>
          </w:p>
        </w:tc>
        <w:tc>
          <w:tcPr>
            <w:tcW w:type="dxa" w:w="3022"/>
          </w:tcPr>
          <w:p>
            <w:r>
              <w:t>队列与阻塞（Queueing &amp; blocking），旅行时间膨胀（Travel time inflation）</w:t>
            </w:r>
          </w:p>
        </w:tc>
        <w:tc>
          <w:tcPr>
            <w:tcW w:type="dxa" w:w="3022"/>
          </w:tcPr>
          <w:p>
            <w:r>
              <w:t>Q_IO(t)；A_queue；κ(t)</w:t>
            </w:r>
          </w:p>
        </w:tc>
      </w:tr>
    </w:tbl>
    <w:p>
      <w:r>
        <w:t>说明：符号仅用于示例，最终以论文符号表为准；同一概念在全文不得更名。</w:t>
      </w:r>
    </w:p>
    <w:p>
      <w:r>
        <w:br w:type="page"/>
      </w:r>
    </w:p>
    <w:p>
      <w:pPr>
        <w:pStyle w:val="Heading1"/>
      </w:pPr>
      <w:r>
        <w:t>六章结构与全文逻辑</w:t>
      </w:r>
    </w:p>
    <w:p>
      <w:pPr>
        <w:spacing w:before="0" w:after="120" w:line="300" w:lineRule="auto"/>
      </w:pPr>
      <w:r>
        <w:t>论文固定为六章：绪论、文献综述、机理研究、模型一、模型二、结论与展望。绪论中需一次性说明研究场景、研究对象与指标定义，避免后文反复补定义导致结构断裂。</w:t>
      </w:r>
    </w:p>
    <w:p>
      <w:pPr>
        <w:pStyle w:val="Heading2"/>
      </w:pPr>
      <w:r>
        <w:t>全文逻辑图</w:t>
      </w:r>
    </w:p>
    <w:p>
      <w:pPr>
        <w:spacing w:before="0" w:after="120" w:line="300" w:lineRule="auto"/>
      </w:pPr>
      <w:r>
        <w:t>图1给出全文因果主线与两级模型的对应关系。</w:t>
      </w:r>
    </w:p>
    <w:p>
      <w:r>
        <w:drawing>
          <wp:inline xmlns:a="http://schemas.openxmlformats.org/drawingml/2006/main" xmlns:pic="http://schemas.openxmlformats.org/drawingml/2006/picture">
            <wp:extent cx="6217920" cy="2072640"/>
            <wp:docPr id="1" name="Picture 1"/>
            <wp:cNvGraphicFramePr>
              <a:graphicFrameLocks noChangeAspect="1"/>
            </wp:cNvGraphicFramePr>
            <a:graphic>
              <a:graphicData uri="http://schemas.openxmlformats.org/drawingml/2006/picture">
                <pic:pic>
                  <pic:nvPicPr>
                    <pic:cNvPr id="0" name="logic_diagram.png"/>
                    <pic:cNvPicPr/>
                  </pic:nvPicPr>
                  <pic:blipFill>
                    <a:blip r:embed="rId9"/>
                    <a:stretch>
                      <a:fillRect/>
                    </a:stretch>
                  </pic:blipFill>
                  <pic:spPr>
                    <a:xfrm>
                      <a:off x="0" y="0"/>
                      <a:ext cx="6217920" cy="2072640"/>
                    </a:xfrm>
                    <a:prstGeom prst="rect"/>
                  </pic:spPr>
                </pic:pic>
              </a:graphicData>
            </a:graphic>
          </wp:inline>
        </w:drawing>
      </w:r>
    </w:p>
    <w:p>
      <w:pPr>
        <w:jc w:val="center"/>
      </w:pPr>
      <w:r>
        <w:rPr>
          <w:rFonts w:ascii="Times New Roman" w:hAnsi="Times New Roman" w:eastAsia="宋体"/>
          <w:sz w:val="20"/>
        </w:rPr>
        <w:t>图1 研究总体逻辑图：因果主线与模型对应关系</w:t>
      </w:r>
    </w:p>
    <w:p>
      <w:pPr>
        <w:pStyle w:val="Heading2"/>
      </w:pPr>
      <w:r>
        <w:t>章节-小节-预期产出总表</w:t>
      </w:r>
    </w:p>
    <w:p>
      <w:pPr>
        <w:spacing w:before="0" w:after="120" w:line="300" w:lineRule="auto"/>
      </w:pPr>
      <w:r>
        <w:t>表2用于锁定每章必须交付的内容（可写、可跑、可复现）。</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r>
              <w:t>章节</w:t>
            </w:r>
          </w:p>
        </w:tc>
        <w:tc>
          <w:tcPr>
            <w:tcW w:type="dxa" w:w="1813"/>
          </w:tcPr>
          <w:p>
            <w:r>
              <w:t>核心科学问题</w:t>
            </w:r>
          </w:p>
        </w:tc>
        <w:tc>
          <w:tcPr>
            <w:tcW w:type="dxa" w:w="1813"/>
          </w:tcPr>
          <w:p>
            <w:r>
              <w:t>方法/材料</w:t>
            </w:r>
          </w:p>
        </w:tc>
        <w:tc>
          <w:tcPr>
            <w:tcW w:type="dxa" w:w="1813"/>
          </w:tcPr>
          <w:p>
            <w:r>
              <w:t>关键输出指标</w:t>
            </w:r>
          </w:p>
        </w:tc>
        <w:tc>
          <w:tcPr>
            <w:tcW w:type="dxa" w:w="1813"/>
          </w:tcPr>
          <w:p>
            <w:r>
              <w:t>预期产出（图/表/公式/算法）</w:t>
            </w:r>
          </w:p>
        </w:tc>
      </w:tr>
      <w:tr>
        <w:tc>
          <w:tcPr>
            <w:tcW w:type="dxa" w:w="1813"/>
          </w:tcPr>
          <w:p>
            <w:r>
              <w:t>第1章 绪论</w:t>
            </w:r>
          </w:p>
        </w:tc>
        <w:tc>
          <w:tcPr>
            <w:tcW w:type="dxa" w:w="1813"/>
          </w:tcPr>
          <w:p>
            <w:r>
              <w:t>研究对象与边界是什么？可靠性用何种标准指标刻画？</w:t>
            </w:r>
          </w:p>
        </w:tc>
        <w:tc>
          <w:tcPr>
            <w:tcW w:type="dxa" w:w="1813"/>
          </w:tcPr>
          <w:p>
            <w:r>
              <w:t>场景描述；指标口径；研究问题（RQ）</w:t>
            </w:r>
          </w:p>
        </w:tc>
        <w:tc>
          <w:tcPr>
            <w:tcW w:type="dxa" w:w="1813"/>
          </w:tcPr>
          <w:p>
            <w:r>
              <w:t>TL_95 / C_max；TRate / TT；吞吐约束（滚动吞吐率）</w:t>
            </w:r>
          </w:p>
        </w:tc>
        <w:tc>
          <w:tcPr>
            <w:tcW w:type="dxa" w:w="1813"/>
          </w:tcPr>
          <w:p>
            <w:r>
              <w:t>技术路线图；指标定义表；RQ清单</w:t>
            </w:r>
          </w:p>
        </w:tc>
      </w:tr>
      <w:tr>
        <w:tc>
          <w:tcPr>
            <w:tcW w:type="dxa" w:w="1813"/>
          </w:tcPr>
          <w:p>
            <w:r>
              <w:t>第2章 文献综述</w:t>
            </w:r>
          </w:p>
        </w:tc>
        <w:tc>
          <w:tcPr>
            <w:tcW w:type="dxa" w:w="1813"/>
          </w:tcPr>
          <w:p>
            <w:r>
              <w:t>已有研究如何处理异构资源、汇聚节点与动态放行？缺口在哪里？</w:t>
            </w:r>
          </w:p>
        </w:tc>
        <w:tc>
          <w:tcPr>
            <w:tcW w:type="dxa" w:w="1813"/>
          </w:tcPr>
          <w:p>
            <w:r>
              <w:t>系统控制、资源指派、合并节点、动态放行、分批与路径</w:t>
            </w:r>
          </w:p>
        </w:tc>
        <w:tc>
          <w:tcPr>
            <w:tcW w:type="dxa" w:w="1813"/>
          </w:tcPr>
          <w:p>
            <w:r>
              <w:t>对比维度：静态/动态、单资源/异构资源、无合并/有合并</w:t>
            </w:r>
          </w:p>
        </w:tc>
        <w:tc>
          <w:tcPr>
            <w:tcW w:type="dxa" w:w="1813"/>
          </w:tcPr>
          <w:p>
            <w:r>
              <w:t>综述表（研究对象-方法-指标-不足）</w:t>
            </w:r>
          </w:p>
        </w:tc>
      </w:tr>
      <w:tr>
        <w:tc>
          <w:tcPr>
            <w:tcW w:type="dxa" w:w="1813"/>
          </w:tcPr>
          <w:p>
            <w:r>
              <w:t>第3章 机理研究</w:t>
            </w:r>
          </w:p>
        </w:tc>
        <w:tc>
          <w:tcPr>
            <w:tcW w:type="dxa" w:w="1813"/>
          </w:tcPr>
          <w:p>
            <w:r>
              <w:t>异构资源分配如何通过同步性占位诱发拥堵并形成尾部与逾期？</w:t>
            </w:r>
          </w:p>
        </w:tc>
        <w:tc>
          <w:tcPr>
            <w:tcW w:type="dxa" w:w="1813"/>
          </w:tcPr>
          <w:p>
            <w:r>
              <w:t>离散事件仿真；基线对照；统计检验</w:t>
            </w:r>
          </w:p>
        </w:tc>
        <w:tc>
          <w:tcPr>
            <w:tcW w:type="dxa" w:w="1813"/>
          </w:tcPr>
          <w:p>
            <w:r>
              <w:t>Δt；O_IO；Q_IO(t)/A_queue；κ(t)；TL_95/C_max；TRate/TT</w:t>
            </w:r>
          </w:p>
        </w:tc>
        <w:tc>
          <w:tcPr>
            <w:tcW w:type="dxa" w:w="1813"/>
          </w:tcPr>
          <w:p>
            <w:r>
              <w:t>因果链检验结果；基线复现图；假设检验表</w:t>
            </w:r>
          </w:p>
        </w:tc>
      </w:tr>
      <w:tr>
        <w:tc>
          <w:tcPr>
            <w:tcW w:type="dxa" w:w="1813"/>
          </w:tcPr>
          <w:p>
            <w:r>
              <w:t>第4章 模型一（指派）</w:t>
            </w:r>
          </w:p>
        </w:tc>
        <w:tc>
          <w:tcPr>
            <w:tcW w:type="dxa" w:w="1813"/>
          </w:tcPr>
          <w:p>
            <w:r>
              <w:t>如何进行异构资源分配与拆分决策以压缩Δt并降低占位风险？</w:t>
            </w:r>
          </w:p>
        </w:tc>
        <w:tc>
          <w:tcPr>
            <w:tcW w:type="dxa" w:w="1813"/>
          </w:tcPr>
          <w:p>
            <w:r>
              <w:t>静态优化/规则化决策；可行性约束</w:t>
            </w:r>
          </w:p>
        </w:tc>
        <w:tc>
          <w:tcPr>
            <w:tcW w:type="dxa" w:w="1813"/>
          </w:tcPr>
          <w:p>
            <w:r>
              <w:t>HRA_dev；Δt；O_IO；下游TL_95/C_max与TRate/TT</w:t>
            </w:r>
          </w:p>
        </w:tc>
        <w:tc>
          <w:tcPr>
            <w:tcW w:type="dxa" w:w="1813"/>
          </w:tcPr>
          <w:p>
            <w:r>
              <w:t>模型1数学表述；规则矩阵；对照实验结果</w:t>
            </w:r>
          </w:p>
        </w:tc>
      </w:tr>
      <w:tr>
        <w:tc>
          <w:tcPr>
            <w:tcW w:type="dxa" w:w="1813"/>
          </w:tcPr>
          <w:p>
            <w:r>
              <w:t>第5章 模型二（动态）</w:t>
            </w:r>
          </w:p>
        </w:tc>
        <w:tc>
          <w:tcPr>
            <w:tcW w:type="dxa" w:w="1813"/>
          </w:tcPr>
          <w:p>
            <w:r>
              <w:t>在动态到达与拥堵状态下，如何通过动态订单下达与分批/排序/路径规划控制拥堵并抑制尾部？</w:t>
            </w:r>
          </w:p>
        </w:tc>
        <w:tc>
          <w:tcPr>
            <w:tcW w:type="dxa" w:w="1813"/>
          </w:tcPr>
          <w:p>
            <w:r>
              <w:t>滚动时域控制；阈值触发；在线校准代理变量；敏感性分析</w:t>
            </w:r>
          </w:p>
        </w:tc>
        <w:tc>
          <w:tcPr>
            <w:tcW w:type="dxa" w:w="1813"/>
          </w:tcPr>
          <w:p>
            <w:r>
              <w:t>Q_IO/A_queue；κ(t)；滚动吞吐率；TL_95/C_max；TRate/TT</w:t>
            </w:r>
          </w:p>
        </w:tc>
        <w:tc>
          <w:tcPr>
            <w:tcW w:type="dxa" w:w="1813"/>
          </w:tcPr>
          <w:p>
            <w:r>
              <w:t>控制结构图；算法伪代码；消融与稳健性结果</w:t>
            </w:r>
          </w:p>
        </w:tc>
      </w:tr>
      <w:tr>
        <w:tc>
          <w:tcPr>
            <w:tcW w:type="dxa" w:w="1813"/>
          </w:tcPr>
          <w:p>
            <w:r>
              <w:t>第6章 结论与展望</w:t>
            </w:r>
          </w:p>
        </w:tc>
        <w:tc>
          <w:tcPr>
            <w:tcW w:type="dxa" w:w="1813"/>
          </w:tcPr>
          <w:p>
            <w:r>
              <w:t>机理结论与两级模型的贡献是什么？工程意义与局限在哪里？</w:t>
            </w:r>
          </w:p>
        </w:tc>
        <w:tc>
          <w:tcPr>
            <w:tcW w:type="dxa" w:w="1813"/>
          </w:tcPr>
          <w:p>
            <w:r>
              <w:t>结论归纳；管理启示；研究局限与展望</w:t>
            </w:r>
          </w:p>
        </w:tc>
        <w:tc>
          <w:tcPr>
            <w:tcW w:type="dxa" w:w="1813"/>
          </w:tcPr>
          <w:p>
            <w:r>
              <w:t>主要指标的相对改进幅度；边界条件</w:t>
            </w:r>
          </w:p>
        </w:tc>
        <w:tc>
          <w:tcPr>
            <w:tcW w:type="dxa" w:w="1813"/>
          </w:tcPr>
          <w:p>
            <w:r>
              <w:t>结论表；可部署规则清单；未来工作方向</w:t>
            </w:r>
          </w:p>
        </w:tc>
      </w:tr>
    </w:tbl>
    <w:p>
      <w:r>
        <w:br w:type="page"/>
      </w:r>
    </w:p>
    <w:p>
      <w:pPr>
        <w:pStyle w:val="Heading1"/>
      </w:pPr>
      <w:r>
        <w:t>科学问题提出、研究内容与研究目标</w:t>
      </w:r>
    </w:p>
    <w:p>
      <w:pPr>
        <w:pStyle w:val="Heading2"/>
      </w:pPr>
      <w:r>
        <w:t>科学问题提出</w:t>
      </w:r>
    </w:p>
    <w:p>
      <w:pPr>
        <w:spacing w:before="0" w:after="120" w:line="300" w:lineRule="auto"/>
      </w:pPr>
      <w:r>
        <w:t>全渠道仓内履约通常同时存在两类结构性因素：（1）拣货资源异构：不同设备/人员在可达高度、机动性、占道水平等方面存在显著差异；（2）订单结构复杂：存在需要拆分为多资源子任务的订单，最终在交接/合并节点完成汇聚。当异构资源分配偏离订单能力需求时，会放大作业时间差，导致拆分订单子任务到达合并节点的时间不同步（Δt）；先到子任务在合并节点形成同步性等待与占位，从而推高队列与阻塞，并在高负荷下表现为周转时间分布尾部延迟与逾期的显著上升。</w:t>
      </w:r>
    </w:p>
    <w:p>
      <w:pPr>
        <w:spacing w:before="0" w:after="120" w:line="300" w:lineRule="auto"/>
      </w:pPr>
      <w:r>
        <w:t>因此，本文的核心科学问题可表述为：在存在异构拣货资源与拆分订单的仓内履约系统中，异构资源分配如何通过到达异步与订单合并同步性占位诱发交接节点拥堵，并进一步造成周转时间尾部延迟（或最大完工时间）与逾期；在该机理基础上，如何构建可复现、可部署的静态指派与动态订单下达策略，以改善可靠性且不显著牺牲吞吐？</w:t>
      </w:r>
    </w:p>
    <w:p>
      <w:pPr>
        <w:pStyle w:val="Heading2"/>
      </w:pPr>
      <w:r>
        <w:t>研究问题（Research Questions）</w:t>
      </w:r>
    </w:p>
    <w:p>
      <w:pPr>
        <w:spacing w:before="0" w:after="40" w:line="300" w:lineRule="auto"/>
        <w:ind w:left="283" w:hanging="283"/>
      </w:pPr>
      <w:r>
        <w:t>RQ1：异构资源分配偏差是否会显著增加拆分订单的到达异步（Δt）？</w:t>
      </w:r>
    </w:p>
    <w:p>
      <w:pPr>
        <w:spacing w:before="0" w:after="40" w:line="300" w:lineRule="auto"/>
        <w:ind w:left="283" w:hanging="283"/>
      </w:pPr>
      <w:r>
        <w:t>RQ2：到达异步（Δt）是否会显著增加交接/合并节点的同步性占位（等待与占位时长）？</w:t>
      </w:r>
    </w:p>
    <w:p>
      <w:pPr>
        <w:spacing w:before="0" w:after="40" w:line="300" w:lineRule="auto"/>
        <w:ind w:left="283" w:hanging="283"/>
      </w:pPr>
      <w:r>
        <w:t>RQ3：同步性占位是否会显著推高交接节点拥堵（队列长度/队列面积/阻塞延迟）？</w:t>
      </w:r>
    </w:p>
    <w:p>
      <w:pPr>
        <w:spacing w:before="0" w:after="40" w:line="300" w:lineRule="auto"/>
        <w:ind w:left="283" w:hanging="283"/>
      </w:pPr>
      <w:r>
        <w:t>RQ4：拥堵是否会显著推高周转时间尾部延迟（第95百分位）或最大完工时间 C_max，并增加逾期（率/时间）？</w:t>
      </w:r>
    </w:p>
    <w:p>
      <w:pPr>
        <w:spacing w:before="0" w:after="40" w:line="300" w:lineRule="auto"/>
        <w:ind w:left="283" w:hanging="283"/>
      </w:pPr>
      <w:r>
        <w:t>RQ5：模型一（静态异构资源分配与拆分决策）能否在源头降低Δt与同步性占位？</w:t>
      </w:r>
    </w:p>
    <w:p>
      <w:pPr>
        <w:spacing w:before="0" w:after="40" w:line="300" w:lineRule="auto"/>
        <w:ind w:left="283" w:hanging="283"/>
      </w:pPr>
      <w:r>
        <w:t>RQ6：模型二（动态订单下达 + 分批与排序 + 路径规划）能否在峰值拥堵状态下抑制队列向尾部与逾期的传导，同时满足吞吐约束？</w:t>
      </w:r>
    </w:p>
    <w:p>
      <w:pPr>
        <w:pStyle w:val="Heading2"/>
      </w:pPr>
      <w:r>
        <w:t>研究目标与验收指标</w:t>
      </w:r>
    </w:p>
    <w:p>
      <w:pPr>
        <w:spacing w:before="0" w:after="120" w:line="300" w:lineRule="auto"/>
      </w:pPr>
      <w:r>
        <w:t>研究目标采用“可靠性优化 + 吞吐约束”的表述方式。可靠性指标以周转时间尾部延迟（第95百分位）或最大完工时间 C_max 表示尾部风险，并以总逾期率或总逾期时间刻画时效损失；吞吐以滚动吞吐率或平均完工效率衡量，作为工程可用性约束。</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r>
              <w:t>目标/约束类型</w:t>
            </w:r>
          </w:p>
        </w:tc>
        <w:tc>
          <w:tcPr>
            <w:tcW w:type="dxa" w:w="2266"/>
          </w:tcPr>
          <w:p>
            <w:r>
              <w:t>标准表述（示例）</w:t>
            </w:r>
          </w:p>
        </w:tc>
        <w:tc>
          <w:tcPr>
            <w:tcW w:type="dxa" w:w="2266"/>
          </w:tcPr>
          <w:p>
            <w:r>
              <w:t>对应指标</w:t>
            </w:r>
          </w:p>
        </w:tc>
        <w:tc>
          <w:tcPr>
            <w:tcW w:type="dxa" w:w="2266"/>
          </w:tcPr>
          <w:p>
            <w:r>
              <w:t>验收方式（相对基线）</w:t>
            </w:r>
          </w:p>
        </w:tc>
      </w:tr>
      <w:tr>
        <w:tc>
          <w:tcPr>
            <w:tcW w:type="dxa" w:w="2266"/>
          </w:tcPr>
          <w:p>
            <w:r>
              <w:t>目标1：尾部风险</w:t>
            </w:r>
          </w:p>
        </w:tc>
        <w:tc>
          <w:tcPr>
            <w:tcW w:type="dxa" w:w="2266"/>
          </w:tcPr>
          <w:p>
            <w:r>
              <w:t>min TL_95(D_i) 或 min C_max</w:t>
            </w:r>
          </w:p>
        </w:tc>
        <w:tc>
          <w:tcPr>
            <w:tcW w:type="dxa" w:w="2266"/>
          </w:tcPr>
          <w:p>
            <w:r>
              <w:t>TL_95；C_max</w:t>
            </w:r>
          </w:p>
        </w:tc>
        <w:tc>
          <w:tcPr>
            <w:tcW w:type="dxa" w:w="2266"/>
          </w:tcPr>
          <w:p>
            <w:r>
              <w:t>与基线相比下降 ≥ δ_tail</w:t>
            </w:r>
          </w:p>
        </w:tc>
      </w:tr>
      <w:tr>
        <w:tc>
          <w:tcPr>
            <w:tcW w:type="dxa" w:w="2266"/>
          </w:tcPr>
          <w:p>
            <w:r>
              <w:t>目标2：逾期损失</w:t>
            </w:r>
          </w:p>
        </w:tc>
        <w:tc>
          <w:tcPr>
            <w:tcW w:type="dxa" w:w="2266"/>
          </w:tcPr>
          <w:p>
            <w:r>
              <w:t>min TRate 或 min TT</w:t>
            </w:r>
          </w:p>
        </w:tc>
        <w:tc>
          <w:tcPr>
            <w:tcW w:type="dxa" w:w="2266"/>
          </w:tcPr>
          <w:p>
            <w:r>
              <w:t>TRate；TT</w:t>
            </w:r>
          </w:p>
        </w:tc>
        <w:tc>
          <w:tcPr>
            <w:tcW w:type="dxa" w:w="2266"/>
          </w:tcPr>
          <w:p>
            <w:r>
              <w:t>与基线相比下降 ≥ δ_tard</w:t>
            </w:r>
          </w:p>
        </w:tc>
      </w:tr>
      <w:tr>
        <w:tc>
          <w:tcPr>
            <w:tcW w:type="dxa" w:w="2266"/>
          </w:tcPr>
          <w:p>
            <w:r>
              <w:t>约束：吞吐/效率</w:t>
            </w:r>
          </w:p>
        </w:tc>
        <w:tc>
          <w:tcPr>
            <w:tcW w:type="dxa" w:w="2266"/>
          </w:tcPr>
          <w:p>
            <w:r>
              <w:t>RollingThroughput ≥ (1-ε)·Baseline</w:t>
            </w:r>
          </w:p>
        </w:tc>
        <w:tc>
          <w:tcPr>
            <w:tcW w:type="dxa" w:w="2266"/>
          </w:tcPr>
          <w:p>
            <w:r>
              <w:t>滚动吞吐率；平均完工时间</w:t>
            </w:r>
          </w:p>
        </w:tc>
        <w:tc>
          <w:tcPr>
            <w:tcW w:type="dxa" w:w="2266"/>
          </w:tcPr>
          <w:p>
            <w:r>
              <w:t>不劣化或劣化 ≤ ε</w:t>
            </w:r>
          </w:p>
        </w:tc>
      </w:tr>
      <w:tr>
        <w:tc>
          <w:tcPr>
            <w:tcW w:type="dxa" w:w="2266"/>
          </w:tcPr>
          <w:p>
            <w:r>
              <w:t>工程约束</w:t>
            </w:r>
          </w:p>
        </w:tc>
        <w:tc>
          <w:tcPr>
            <w:tcW w:type="dxa" w:w="2266"/>
          </w:tcPr>
          <w:p>
            <w:r>
              <w:t>资源能力、合并节点容量、路径可行性</w:t>
            </w:r>
          </w:p>
        </w:tc>
        <w:tc>
          <w:tcPr>
            <w:tcW w:type="dxa" w:w="2266"/>
          </w:tcPr>
          <w:p>
            <w:r>
              <w:t>cap_IO；cap_aisle；容量/服务率</w:t>
            </w:r>
          </w:p>
        </w:tc>
        <w:tc>
          <w:tcPr>
            <w:tcW w:type="dxa" w:w="2266"/>
          </w:tcPr>
          <w:p>
            <w:r>
              <w:t>满足可行性；敏感性覆盖</w:t>
            </w:r>
          </w:p>
        </w:tc>
      </w:tr>
    </w:tbl>
    <w:p>
      <w:r>
        <w:t>说明：δ_tail、δ_tard、ε 为论文中需显式给出的门槛参数（可由学院要求或业务期望确定）。</w:t>
      </w:r>
    </w:p>
    <w:p>
      <w:pPr>
        <w:pStyle w:val="Heading2"/>
      </w:pPr>
      <w:r>
        <w:t>研究内容与技术路线</w:t>
      </w:r>
    </w:p>
    <w:p>
      <w:pPr>
        <w:spacing w:before="0" w:after="120" w:line="300" w:lineRule="auto"/>
      </w:pPr>
      <w:r>
        <w:t>研究内容分为三个模块，对应第3-5章。</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r>
              <w:t>研究模块</w:t>
            </w:r>
          </w:p>
        </w:tc>
        <w:tc>
          <w:tcPr>
            <w:tcW w:type="dxa" w:w="2266"/>
          </w:tcPr>
          <w:p>
            <w:r>
              <w:t>目的（Why）</w:t>
            </w:r>
          </w:p>
        </w:tc>
        <w:tc>
          <w:tcPr>
            <w:tcW w:type="dxa" w:w="2266"/>
          </w:tcPr>
          <w:p>
            <w:r>
              <w:t>方法（How）</w:t>
            </w:r>
          </w:p>
        </w:tc>
        <w:tc>
          <w:tcPr>
            <w:tcW w:type="dxa" w:w="2266"/>
          </w:tcPr>
          <w:p>
            <w:r>
              <w:t>主要输出（What）</w:t>
            </w:r>
          </w:p>
        </w:tc>
      </w:tr>
      <w:tr>
        <w:tc>
          <w:tcPr>
            <w:tcW w:type="dxa" w:w="2266"/>
          </w:tcPr>
          <w:p>
            <w:r>
              <w:t>机理研究（第3章）</w:t>
            </w:r>
          </w:p>
        </w:tc>
        <w:tc>
          <w:tcPr>
            <w:tcW w:type="dxa" w:w="2266"/>
          </w:tcPr>
          <w:p>
            <w:r>
              <w:t>验证“分配偏差—异步—占位—拥堵—尾部/逾期”的传导链是否成立，并识别关键放大环节。</w:t>
            </w:r>
          </w:p>
        </w:tc>
        <w:tc>
          <w:tcPr>
            <w:tcW w:type="dxa" w:w="2266"/>
          </w:tcPr>
          <w:p>
            <w:r>
              <w:t>基线策略复现；对照实验；统计检验；最小闭集指标。</w:t>
            </w:r>
          </w:p>
        </w:tc>
        <w:tc>
          <w:tcPr>
            <w:tcW w:type="dxa" w:w="2266"/>
          </w:tcPr>
          <w:p>
            <w:r>
              <w:t>机理证据链图表；关键阈值/放大条件；后续模型设计依据。</w:t>
            </w:r>
          </w:p>
        </w:tc>
      </w:tr>
      <w:tr>
        <w:tc>
          <w:tcPr>
            <w:tcW w:type="dxa" w:w="2266"/>
          </w:tcPr>
          <w:p>
            <w:r>
              <w:t>模型一：异构资源分配与拆分决策（第4章）</w:t>
            </w:r>
          </w:p>
        </w:tc>
        <w:tc>
          <w:tcPr>
            <w:tcW w:type="dxa" w:w="2266"/>
          </w:tcPr>
          <w:p>
            <w:r>
              <w:t>在源头压缩Δt并降低同步性占位风险。</w:t>
            </w:r>
          </w:p>
        </w:tc>
        <w:tc>
          <w:tcPr>
            <w:tcW w:type="dxa" w:w="2266"/>
          </w:tcPr>
          <w:p>
            <w:r>
              <w:t>静态指派（assignment）与拆分（splitting）决策；能力约束（高位可达）；可部署规则矩阵。</w:t>
            </w:r>
          </w:p>
        </w:tc>
        <w:tc>
          <w:tcPr>
            <w:tcW w:type="dxa" w:w="2266"/>
          </w:tcPr>
          <w:p>
            <w:r>
              <w:t>模型1数学表达；规则矩阵；相对基线的Δt/O_IO/尾部与逾期改进。</w:t>
            </w:r>
          </w:p>
        </w:tc>
      </w:tr>
      <w:tr>
        <w:tc>
          <w:tcPr>
            <w:tcW w:type="dxa" w:w="2266"/>
          </w:tcPr>
          <w:p>
            <w:r>
              <w:t>模型二：动态订单下达 + 订单分批与排序 + 路径规划（第5章）</w:t>
            </w:r>
          </w:p>
        </w:tc>
        <w:tc>
          <w:tcPr>
            <w:tcW w:type="dxa" w:w="2266"/>
          </w:tcPr>
          <w:p>
            <w:r>
              <w:t>在动态到达与拥堵状态下抑制队列向尾部与逾期的传导，并维持吞吐约束。</w:t>
            </w:r>
          </w:p>
        </w:tc>
        <w:tc>
          <w:tcPr>
            <w:tcW w:type="dxa" w:w="2266"/>
          </w:tcPr>
          <w:p>
            <w:r>
              <w:t>滚动时域控制；拥堵阈值触发；批次规模缩减；释放顺序调整；执行层路径规划；敏感性分析。</w:t>
            </w:r>
          </w:p>
        </w:tc>
        <w:tc>
          <w:tcPr>
            <w:tcW w:type="dxa" w:w="2266"/>
          </w:tcPr>
          <w:p>
            <w:r>
              <w:t>算法伪代码；批次-拥堵响应曲线；消融与稳健性结果；可部署控制规则。</w:t>
            </w:r>
          </w:p>
        </w:tc>
      </w:tr>
    </w:tbl>
    <w:p>
      <w:r>
        <w:br w:type="page"/>
      </w:r>
    </w:p>
    <w:p>
      <w:pPr>
        <w:pStyle w:val="Heading1"/>
      </w:pPr>
      <w:r>
        <w:t>关键变量、计算口径与数据需求</w:t>
      </w:r>
    </w:p>
    <w:p>
      <w:pPr>
        <w:spacing w:before="0" w:after="120" w:line="300" w:lineRule="auto"/>
      </w:pPr>
      <w:r>
        <w:t>本节给出机理验证与两级模型的最小闭集变量，确保“可计算、可复现”。若数据集中缺失截止时间 d_i，则需在实验中外生设定并在绪论中说明边界。</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r>
              <w:t>变量/指标</w:t>
            </w:r>
          </w:p>
        </w:tc>
        <w:tc>
          <w:tcPr>
            <w:tcW w:type="dxa" w:w="1813"/>
          </w:tcPr>
          <w:p>
            <w:r>
              <w:t>学术含义</w:t>
            </w:r>
          </w:p>
        </w:tc>
        <w:tc>
          <w:tcPr>
            <w:tcW w:type="dxa" w:w="1813"/>
          </w:tcPr>
          <w:p>
            <w:r>
              <w:t>计算口径（示例）</w:t>
            </w:r>
          </w:p>
        </w:tc>
        <w:tc>
          <w:tcPr>
            <w:tcW w:type="dxa" w:w="1813"/>
          </w:tcPr>
          <w:p>
            <w:r>
              <w:t>适用对象</w:t>
            </w:r>
          </w:p>
        </w:tc>
        <w:tc>
          <w:tcPr>
            <w:tcW w:type="dxa" w:w="1813"/>
          </w:tcPr>
          <w:p>
            <w:r>
              <w:t>数据/仿真输出</w:t>
            </w:r>
          </w:p>
        </w:tc>
      </w:tr>
      <w:tr>
        <w:tc>
          <w:tcPr>
            <w:tcW w:type="dxa" w:w="1813"/>
          </w:tcPr>
          <w:p>
            <w:r>
              <w:t>周转时间 D_i</w:t>
            </w:r>
          </w:p>
        </w:tc>
        <w:tc>
          <w:tcPr>
            <w:tcW w:type="dxa" w:w="1813"/>
          </w:tcPr>
          <w:p>
            <w:r>
              <w:t>订单周转时间</w:t>
            </w:r>
          </w:p>
        </w:tc>
        <w:tc>
          <w:tcPr>
            <w:tcW w:type="dxa" w:w="1813"/>
          </w:tcPr>
          <w:p>
            <w:r>
              <w:t>D_i = C_i - R_i（R_i为进入拣选池/下达时刻）</w:t>
            </w:r>
          </w:p>
        </w:tc>
        <w:tc>
          <w:tcPr>
            <w:tcW w:type="dxa" w:w="1813"/>
          </w:tcPr>
          <w:p>
            <w:r>
              <w:t>全体订单</w:t>
            </w:r>
          </w:p>
        </w:tc>
        <w:tc>
          <w:tcPr>
            <w:tcW w:type="dxa" w:w="1813"/>
          </w:tcPr>
          <w:p>
            <w:r>
              <w:t>订单级完成时刻、下达时刻</w:t>
            </w:r>
          </w:p>
        </w:tc>
      </w:tr>
      <w:tr>
        <w:tc>
          <w:tcPr>
            <w:tcW w:type="dxa" w:w="1813"/>
          </w:tcPr>
          <w:p>
            <w:r>
              <w:t>尾部延迟 TL_95</w:t>
            </w:r>
          </w:p>
        </w:tc>
        <w:tc>
          <w:tcPr>
            <w:tcW w:type="dxa" w:w="1813"/>
          </w:tcPr>
          <w:p>
            <w:r>
              <w:t>周转时间尾部风险</w:t>
            </w:r>
          </w:p>
        </w:tc>
        <w:tc>
          <w:tcPr>
            <w:tcW w:type="dxa" w:w="1813"/>
          </w:tcPr>
          <w:p>
            <w:r>
              <w:t>TL_95 = Quantile_0.95(D_i)</w:t>
            </w:r>
          </w:p>
        </w:tc>
        <w:tc>
          <w:tcPr>
            <w:tcW w:type="dxa" w:w="1813"/>
          </w:tcPr>
          <w:p>
            <w:r>
              <w:t>全体/重点订单</w:t>
            </w:r>
          </w:p>
        </w:tc>
        <w:tc>
          <w:tcPr>
            <w:tcW w:type="dxa" w:w="1813"/>
          </w:tcPr>
          <w:p>
            <w:r>
              <w:t>订单级 D_i</w:t>
            </w:r>
          </w:p>
        </w:tc>
      </w:tr>
      <w:tr>
        <w:tc>
          <w:tcPr>
            <w:tcW w:type="dxa" w:w="1813"/>
          </w:tcPr>
          <w:p>
            <w:r>
              <w:t>最大完工时间 C_max</w:t>
            </w:r>
          </w:p>
        </w:tc>
        <w:tc>
          <w:tcPr>
            <w:tcW w:type="dxa" w:w="1813"/>
          </w:tcPr>
          <w:p>
            <w:r>
              <w:t>窗口内最大完工风险</w:t>
            </w:r>
          </w:p>
        </w:tc>
        <w:tc>
          <w:tcPr>
            <w:tcW w:type="dxa" w:w="1813"/>
          </w:tcPr>
          <w:p>
            <w:r>
              <w:t>C_max = max_{i∈W} C_i</w:t>
            </w:r>
          </w:p>
        </w:tc>
        <w:tc>
          <w:tcPr>
            <w:tcW w:type="dxa" w:w="1813"/>
          </w:tcPr>
          <w:p>
            <w:r>
              <w:t>窗口/波次</w:t>
            </w:r>
          </w:p>
        </w:tc>
        <w:tc>
          <w:tcPr>
            <w:tcW w:type="dxa" w:w="1813"/>
          </w:tcPr>
          <w:p>
            <w:r>
              <w:t>订单级完成时刻</w:t>
            </w:r>
          </w:p>
        </w:tc>
      </w:tr>
      <w:tr>
        <w:tc>
          <w:tcPr>
            <w:tcW w:type="dxa" w:w="1813"/>
          </w:tcPr>
          <w:p>
            <w:r>
              <w:t>逾期 T_i / TRate / TT</w:t>
            </w:r>
          </w:p>
        </w:tc>
        <w:tc>
          <w:tcPr>
            <w:tcW w:type="dxa" w:w="1813"/>
          </w:tcPr>
          <w:p>
            <w:r>
              <w:t>时效损失</w:t>
            </w:r>
          </w:p>
        </w:tc>
        <w:tc>
          <w:tcPr>
            <w:tcW w:type="dxa" w:w="1813"/>
          </w:tcPr>
          <w:p>
            <w:r>
              <w:t>T_i=max(0,C_i-d_i)；TRate/TT</w:t>
            </w:r>
          </w:p>
        </w:tc>
        <w:tc>
          <w:tcPr>
            <w:tcW w:type="dxa" w:w="1813"/>
          </w:tcPr>
          <w:p>
            <w:r>
              <w:t>全体/重点订单</w:t>
            </w:r>
          </w:p>
        </w:tc>
        <w:tc>
          <w:tcPr>
            <w:tcW w:type="dxa" w:w="1813"/>
          </w:tcPr>
          <w:p>
            <w:r>
              <w:t>截止时间（外生或数据）</w:t>
            </w:r>
          </w:p>
        </w:tc>
      </w:tr>
      <w:tr>
        <w:tc>
          <w:tcPr>
            <w:tcW w:type="dxa" w:w="1813"/>
          </w:tcPr>
          <w:p>
            <w:r>
              <w:t>HRA_dev</w:t>
            </w:r>
          </w:p>
        </w:tc>
        <w:tc>
          <w:tcPr>
            <w:tcW w:type="dxa" w:w="1813"/>
          </w:tcPr>
          <w:p>
            <w:r>
              <w:t>异构资源分配偏差</w:t>
            </w:r>
          </w:p>
        </w:tc>
        <w:tc>
          <w:tcPr>
            <w:tcW w:type="dxa" w:w="1813"/>
          </w:tcPr>
          <w:p>
            <w:r>
              <w:t>(1/N)∑I(r_i≠ r̂_i)</w:t>
            </w:r>
          </w:p>
        </w:tc>
        <w:tc>
          <w:tcPr>
            <w:tcW w:type="dxa" w:w="1813"/>
          </w:tcPr>
          <w:p>
            <w:r>
              <w:t>全体订单</w:t>
            </w:r>
          </w:p>
        </w:tc>
        <w:tc>
          <w:tcPr>
            <w:tcW w:type="dxa" w:w="1813"/>
          </w:tcPr>
          <w:p>
            <w:r>
              <w:t>推荐资源规则 + 实际指派</w:t>
            </w:r>
          </w:p>
        </w:tc>
      </w:tr>
      <w:tr>
        <w:tc>
          <w:tcPr>
            <w:tcW w:type="dxa" w:w="1813"/>
          </w:tcPr>
          <w:p>
            <w:r>
              <w:t>到达异步 Δt_i</w:t>
            </w:r>
          </w:p>
        </w:tc>
        <w:tc>
          <w:tcPr>
            <w:tcW w:type="dxa" w:w="1813"/>
          </w:tcPr>
          <w:p>
            <w:r>
              <w:t>拆分订单到达异步</w:t>
            </w:r>
          </w:p>
        </w:tc>
        <w:tc>
          <w:tcPr>
            <w:tcW w:type="dxa" w:w="1813"/>
          </w:tcPr>
          <w:p>
            <w:r>
              <w:t>|t_arr,EPU - t_arr,MPU|</w:t>
            </w:r>
          </w:p>
        </w:tc>
        <w:tc>
          <w:tcPr>
            <w:tcW w:type="dxa" w:w="1813"/>
          </w:tcPr>
          <w:p>
            <w:r>
              <w:t>拆分订单</w:t>
            </w:r>
          </w:p>
        </w:tc>
        <w:tc>
          <w:tcPr>
            <w:tcW w:type="dxa" w:w="1813"/>
          </w:tcPr>
          <w:p>
            <w:r>
              <w:t>子任务到达合并节点时间戳</w:t>
            </w:r>
          </w:p>
        </w:tc>
      </w:tr>
      <w:tr>
        <w:tc>
          <w:tcPr>
            <w:tcW w:type="dxa" w:w="1813"/>
          </w:tcPr>
          <w:p>
            <w:r>
              <w:t>同步性占位 O_IO_i</w:t>
            </w:r>
          </w:p>
        </w:tc>
        <w:tc>
          <w:tcPr>
            <w:tcW w:type="dxa" w:w="1813"/>
          </w:tcPr>
          <w:p>
            <w:r>
              <w:t>合并同步性占位</w:t>
            </w:r>
          </w:p>
        </w:tc>
        <w:tc>
          <w:tcPr>
            <w:tcW w:type="dxa" w:w="1813"/>
          </w:tcPr>
          <w:p>
            <w:r>
              <w:t>O_IO_i = W_cons_i + T_merge_i</w:t>
            </w:r>
          </w:p>
        </w:tc>
        <w:tc>
          <w:tcPr>
            <w:tcW w:type="dxa" w:w="1813"/>
          </w:tcPr>
          <w:p>
            <w:r>
              <w:t>拆分订单</w:t>
            </w:r>
          </w:p>
        </w:tc>
        <w:tc>
          <w:tcPr>
            <w:tcW w:type="dxa" w:w="1813"/>
          </w:tcPr>
          <w:p>
            <w:r>
              <w:t>合并节点占位开始/结束</w:t>
            </w:r>
          </w:p>
        </w:tc>
      </w:tr>
      <w:tr>
        <w:tc>
          <w:tcPr>
            <w:tcW w:type="dxa" w:w="1813"/>
          </w:tcPr>
          <w:p>
            <w:r>
              <w:t>拥堵 Q_IO(t)</w:t>
            </w:r>
          </w:p>
        </w:tc>
        <w:tc>
          <w:tcPr>
            <w:tcW w:type="dxa" w:w="1813"/>
          </w:tcPr>
          <w:p>
            <w:r>
              <w:t>队列状态</w:t>
            </w:r>
          </w:p>
        </w:tc>
        <w:tc>
          <w:tcPr>
            <w:tcW w:type="dxa" w:w="1813"/>
          </w:tcPr>
          <w:p>
            <w:r>
              <w:t>交接/合并节点队列长度</w:t>
            </w:r>
          </w:p>
        </w:tc>
        <w:tc>
          <w:tcPr>
            <w:tcW w:type="dxa" w:w="1813"/>
          </w:tcPr>
          <w:p>
            <w:r>
              <w:t>系统级</w:t>
            </w:r>
          </w:p>
        </w:tc>
        <w:tc>
          <w:tcPr>
            <w:tcW w:type="dxa" w:w="1813"/>
          </w:tcPr>
          <w:p>
            <w:r>
              <w:t>时间序列采样</w:t>
            </w:r>
          </w:p>
        </w:tc>
      </w:tr>
      <w:tr>
        <w:tc>
          <w:tcPr>
            <w:tcW w:type="dxa" w:w="1813"/>
          </w:tcPr>
          <w:p>
            <w:r>
              <w:t>队列面积 A_queue</w:t>
            </w:r>
          </w:p>
        </w:tc>
        <w:tc>
          <w:tcPr>
            <w:tcW w:type="dxa" w:w="1813"/>
          </w:tcPr>
          <w:p>
            <w:r>
              <w:t>累计排队强度</w:t>
            </w:r>
          </w:p>
        </w:tc>
        <w:tc>
          <w:tcPr>
            <w:tcW w:type="dxa" w:w="1813"/>
          </w:tcPr>
          <w:p>
            <w:r>
              <w:t>A_queue = ∫ Q_IO(t) dt</w:t>
            </w:r>
          </w:p>
        </w:tc>
        <w:tc>
          <w:tcPr>
            <w:tcW w:type="dxa" w:w="1813"/>
          </w:tcPr>
          <w:p>
            <w:r>
              <w:t>系统级</w:t>
            </w:r>
          </w:p>
        </w:tc>
        <w:tc>
          <w:tcPr>
            <w:tcW w:type="dxa" w:w="1813"/>
          </w:tcPr>
          <w:p>
            <w:r>
              <w:t>Q_IO(t)时间序列</w:t>
            </w:r>
          </w:p>
        </w:tc>
      </w:tr>
      <w:tr>
        <w:tc>
          <w:tcPr>
            <w:tcW w:type="dxa" w:w="1813"/>
          </w:tcPr>
          <w:p>
            <w:r>
              <w:t>旅行时间膨胀 κ(t)</w:t>
            </w:r>
          </w:p>
        </w:tc>
        <w:tc>
          <w:tcPr>
            <w:tcW w:type="dxa" w:w="1813"/>
          </w:tcPr>
          <w:p>
            <w:r>
              <w:t>通行冲突代理</w:t>
            </w:r>
          </w:p>
        </w:tc>
        <w:tc>
          <w:tcPr>
            <w:tcW w:type="dxa" w:w="1813"/>
          </w:tcPr>
          <w:p>
            <w:r>
              <w:t>κ(t)=E[T_travel]/T_free（滚动窗口）</w:t>
            </w:r>
          </w:p>
        </w:tc>
        <w:tc>
          <w:tcPr>
            <w:tcW w:type="dxa" w:w="1813"/>
          </w:tcPr>
          <w:p>
            <w:r>
              <w:t>系统级/资源级</w:t>
            </w:r>
          </w:p>
        </w:tc>
        <w:tc>
          <w:tcPr>
            <w:tcW w:type="dxa" w:w="1813"/>
          </w:tcPr>
          <w:p>
            <w:r>
              <w:t>实际旅行时间与自由流时间</w:t>
            </w:r>
          </w:p>
        </w:tc>
      </w:tr>
      <w:tr>
        <w:tc>
          <w:tcPr>
            <w:tcW w:type="dxa" w:w="1813"/>
          </w:tcPr>
          <w:p>
            <w:r>
              <w:t>滚动吞吐率 TR(t)</w:t>
            </w:r>
          </w:p>
        </w:tc>
        <w:tc>
          <w:tcPr>
            <w:tcW w:type="dxa" w:w="1813"/>
          </w:tcPr>
          <w:p>
            <w:r>
              <w:t>吞吐健康度</w:t>
            </w:r>
          </w:p>
        </w:tc>
        <w:tc>
          <w:tcPr>
            <w:tcW w:type="dxa" w:w="1813"/>
          </w:tcPr>
          <w:p>
            <w:r>
              <w:t>TR(t)=Completed(t-W,t)/W</w:t>
            </w:r>
          </w:p>
        </w:tc>
        <w:tc>
          <w:tcPr>
            <w:tcW w:type="dxa" w:w="1813"/>
          </w:tcPr>
          <w:p>
            <w:r>
              <w:t>系统级</w:t>
            </w:r>
          </w:p>
        </w:tc>
        <w:tc>
          <w:tcPr>
            <w:tcW w:type="dxa" w:w="1813"/>
          </w:tcPr>
          <w:p>
            <w:r>
              <w:t>完工计数时间序列</w:t>
            </w:r>
          </w:p>
        </w:tc>
      </w:tr>
    </w:tbl>
    <w:p>
      <w:pPr>
        <w:pStyle w:val="Heading2"/>
      </w:pPr>
      <w:r>
        <w:t>数据集可用信息与仿真输入输出映射（概要）</w:t>
      </w:r>
    </w:p>
    <w:p>
      <w:pPr>
        <w:spacing w:before="0" w:after="120" w:line="300" w:lineRule="auto"/>
      </w:pPr>
      <w:r>
        <w:t>数据集（PDF说明）显示其来自真实企业WMS的SQL查询结果，提供多种格式数据（如CSV、CAD布局、Python脚本），包含几何布局、存储位置、波次信息、路径信息与时间戳等。本文仿真输入建议分为三层：空间层（布局与距离矩阵）、流程层（订单/波次/位置/时间戳）、性能层（作业时间参数与资源差异）。</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r>
              <w:t>数据层</w:t>
            </w:r>
          </w:p>
        </w:tc>
        <w:tc>
          <w:tcPr>
            <w:tcW w:type="dxa" w:w="2266"/>
          </w:tcPr>
          <w:p>
            <w:r>
              <w:t>典型字段/文件（示例）</w:t>
            </w:r>
          </w:p>
        </w:tc>
        <w:tc>
          <w:tcPr>
            <w:tcW w:type="dxa" w:w="2266"/>
          </w:tcPr>
          <w:p>
            <w:r>
              <w:t>在本文中的用途</w:t>
            </w:r>
          </w:p>
        </w:tc>
        <w:tc>
          <w:tcPr>
            <w:tcW w:type="dxa" w:w="2266"/>
          </w:tcPr>
          <w:p>
            <w:r>
              <w:t>对应仿真模块</w:t>
            </w:r>
          </w:p>
        </w:tc>
      </w:tr>
      <w:tr>
        <w:tc>
          <w:tcPr>
            <w:tcW w:type="dxa" w:w="2266"/>
          </w:tcPr>
          <w:p>
            <w:r>
              <w:t>空间层</w:t>
            </w:r>
          </w:p>
        </w:tc>
        <w:tc>
          <w:tcPr>
            <w:tcW w:type="dxa" w:w="2266"/>
          </w:tcPr>
          <w:p>
            <w:r>
              <w:t>CAD/坐标化位置、巷道/走廊拓扑、节点坐标</w:t>
            </w:r>
          </w:p>
        </w:tc>
        <w:tc>
          <w:tcPr>
            <w:tcW w:type="dxa" w:w="2266"/>
          </w:tcPr>
          <w:p>
            <w:r>
              <w:t>构建空间网络与距离矩阵；自由流旅行时间</w:t>
            </w:r>
          </w:p>
        </w:tc>
        <w:tc>
          <w:tcPr>
            <w:tcW w:type="dxa" w:w="2266"/>
          </w:tcPr>
          <w:p>
            <w:r>
              <w:t>距离计算模块；路径规划模块</w:t>
            </w:r>
          </w:p>
        </w:tc>
      </w:tr>
      <w:tr>
        <w:tc>
          <w:tcPr>
            <w:tcW w:type="dxa" w:w="2266"/>
          </w:tcPr>
          <w:p>
            <w:r>
              <w:t>流程层</w:t>
            </w:r>
          </w:p>
        </w:tc>
        <w:tc>
          <w:tcPr>
            <w:tcW w:type="dxa" w:w="2266"/>
          </w:tcPr>
          <w:p>
            <w:r>
              <w:t>订单行项、拣选位置、波次/批次信息、到达/完成时间戳</w:t>
            </w:r>
          </w:p>
        </w:tc>
        <w:tc>
          <w:tcPr>
            <w:tcW w:type="dxa" w:w="2266"/>
          </w:tcPr>
          <w:p>
            <w:r>
              <w:t>生成订单到达流；拆分订单子任务；合并节点到达序列</w:t>
            </w:r>
          </w:p>
        </w:tc>
        <w:tc>
          <w:tcPr>
            <w:tcW w:type="dxa" w:w="2266"/>
          </w:tcPr>
          <w:p>
            <w:r>
              <w:t>订单生成与拆分模块；事件调度模块</w:t>
            </w:r>
          </w:p>
        </w:tc>
      </w:tr>
      <w:tr>
        <w:tc>
          <w:tcPr>
            <w:tcW w:type="dxa" w:w="2266"/>
          </w:tcPr>
          <w:p>
            <w:r>
              <w:t>性能层</w:t>
            </w:r>
          </w:p>
        </w:tc>
        <w:tc>
          <w:tcPr>
            <w:tcW w:type="dxa" w:w="2266"/>
          </w:tcPr>
          <w:p>
            <w:r>
              <w:t>作业时间记录、人员/设备标识、路径与耗时</w:t>
            </w:r>
          </w:p>
        </w:tc>
        <w:tc>
          <w:tcPr>
            <w:tcW w:type="dxa" w:w="2266"/>
          </w:tcPr>
          <w:p>
            <w:r>
              <w:t>参数标定：拣取/行走/合并服务时间；κ(t)校准</w:t>
            </w:r>
          </w:p>
        </w:tc>
        <w:tc>
          <w:tcPr>
            <w:tcW w:type="dxa" w:w="2266"/>
          </w:tcPr>
          <w:p>
            <w:r>
              <w:t>服务时间模型；在线校准模块</w:t>
            </w:r>
          </w:p>
        </w:tc>
      </w:tr>
    </w:tbl>
    <w:p>
      <w:r>
        <w:br w:type="page"/>
      </w:r>
    </w:p>
    <w:p>
      <w:pPr>
        <w:pStyle w:val="Heading1"/>
      </w:pPr>
      <w:r>
        <w:t>模型二的结构风险与修补方案（用于写作一致性）</w:t>
      </w:r>
    </w:p>
    <w:p>
      <w:pPr>
        <w:spacing w:before="0" w:after="120" w:line="300" w:lineRule="auto"/>
      </w:pPr>
      <w:r>
        <w:t>为避免“机理设定-控制策略-容量设定”之间出现解析断裂，模型二建议采用以下最小修补：动态代理变量、滚动时域重优化映射、以及合并节点容量敏感性。</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r>
              <w:t>结构脆弱点</w:t>
            </w:r>
          </w:p>
        </w:tc>
        <w:tc>
          <w:tcPr>
            <w:tcW w:type="dxa" w:w="2266"/>
          </w:tcPr>
          <w:p>
            <w:r>
              <w:t>风险表现</w:t>
            </w:r>
          </w:p>
        </w:tc>
        <w:tc>
          <w:tcPr>
            <w:tcW w:type="dxa" w:w="2266"/>
          </w:tcPr>
          <w:p>
            <w:r>
              <w:t>最小修补方案（可实现）</w:t>
            </w:r>
          </w:p>
        </w:tc>
        <w:tc>
          <w:tcPr>
            <w:tcW w:type="dxa" w:w="2266"/>
          </w:tcPr>
          <w:p>
            <w:r>
              <w:t>在论文中的落位</w:t>
            </w:r>
          </w:p>
        </w:tc>
      </w:tr>
      <w:tr>
        <w:tc>
          <w:tcPr>
            <w:tcW w:type="dxa" w:w="2266"/>
          </w:tcPr>
          <w:p>
            <w:r>
              <w:t>同步风险代理失真（静态ETA）</w:t>
            </w:r>
          </w:p>
        </w:tc>
        <w:tc>
          <w:tcPr>
            <w:tcW w:type="dxa" w:w="2266"/>
          </w:tcPr>
          <w:p>
            <w:r>
              <w:t>拥堵态旅行时间波动增大，静态代理排序可能失效并引发策略抖动</w:t>
            </w:r>
          </w:p>
        </w:tc>
        <w:tc>
          <w:tcPr>
            <w:tcW w:type="dxa" w:w="2266"/>
          </w:tcPr>
          <w:p>
            <w:r>
              <w:t>引入旅行时间膨胀因子 κ(t) 在线校准 ETA；加入迟滞/平滑以避免频繁切换</w:t>
            </w:r>
          </w:p>
        </w:tc>
        <w:tc>
          <w:tcPr>
            <w:tcW w:type="dxa" w:w="2266"/>
          </w:tcPr>
          <w:p>
            <w:r>
              <w:t>第5章：状态变量与触发；消融实验（静态 vs 动态代理）</w:t>
            </w:r>
          </w:p>
        </w:tc>
      </w:tr>
      <w:tr>
        <w:tc>
          <w:tcPr>
            <w:tcW w:type="dxa" w:w="2266"/>
          </w:tcPr>
          <w:p>
            <w:r>
              <w:t>模型一目标与模型二规则断裂</w:t>
            </w:r>
          </w:p>
        </w:tc>
        <w:tc>
          <w:tcPr>
            <w:tcW w:type="dxa" w:w="2266"/>
          </w:tcPr>
          <w:p>
            <w:r>
              <w:t>模型二无法解释为在优化何种标准目标，难以与运筹目标对齐</w:t>
            </w:r>
          </w:p>
        </w:tc>
        <w:tc>
          <w:tcPr>
            <w:tcW w:type="dxa" w:w="2266"/>
          </w:tcPr>
          <w:p>
            <w:r>
              <w:t>定义滚动窗口代理目标（例如总逾期时间 + 队列面积惩罚 + 吞吐损失）；将阈值规则解释为分段近似策略</w:t>
            </w:r>
          </w:p>
        </w:tc>
        <w:tc>
          <w:tcPr>
            <w:tcW w:type="dxa" w:w="2266"/>
          </w:tcPr>
          <w:p>
            <w:r>
              <w:t>第5章：控制目标与动作；第6章：讨论与局限</w:t>
            </w:r>
          </w:p>
        </w:tc>
      </w:tr>
      <w:tr>
        <w:tc>
          <w:tcPr>
            <w:tcW w:type="dxa" w:w="2266"/>
          </w:tcPr>
          <w:p>
            <w:r>
              <w:t>合并节点容量极端化（cap=1）</w:t>
            </w:r>
          </w:p>
        </w:tc>
        <w:tc>
          <w:tcPr>
            <w:tcW w:type="dxa" w:w="2266"/>
          </w:tcPr>
          <w:p>
            <w:r>
              <w:t>同步性占位效应可能被极端瓶颈放大，结论对参数敏感</w:t>
            </w:r>
          </w:p>
        </w:tc>
        <w:tc>
          <w:tcPr>
            <w:tcW w:type="dxa" w:w="2266"/>
          </w:tcPr>
          <w:p>
            <w:r>
              <w:t>扩展为并行合并模型（servers + slots）；对容量做敏感性（c,s取值）</w:t>
            </w:r>
          </w:p>
        </w:tc>
        <w:tc>
          <w:tcPr>
            <w:tcW w:type="dxa" w:w="2266"/>
          </w:tcPr>
          <w:p>
            <w:r>
              <w:t>第3章/第5章：敏感性实验与稳健性</w:t>
            </w:r>
          </w:p>
        </w:tc>
      </w:tr>
    </w:tbl>
    <w:p>
      <w:r>
        <w:br w:type="page"/>
      </w:r>
    </w:p>
    <w:p>
      <w:pPr>
        <w:pStyle w:val="Heading1"/>
      </w:pPr>
      <w:r>
        <w:t>实验设计与结果呈现清单（框架级）</w:t>
      </w:r>
    </w:p>
    <w:p>
      <w:pPr>
        <w:spacing w:before="0" w:after="120" w:line="300" w:lineRule="auto"/>
      </w:pPr>
      <w:r>
        <w:t>本节给出最小实验设计集，用于支撑机理验证与两级模型效果比较。具体参数取值可在后续讨论中锁定。</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r>
              <w:t>实验组</w:t>
            </w:r>
          </w:p>
        </w:tc>
        <w:tc>
          <w:tcPr>
            <w:tcW w:type="dxa" w:w="1813"/>
          </w:tcPr>
          <w:p>
            <w:r>
              <w:t>操纵变量</w:t>
            </w:r>
          </w:p>
        </w:tc>
        <w:tc>
          <w:tcPr>
            <w:tcW w:type="dxa" w:w="1813"/>
          </w:tcPr>
          <w:p>
            <w:r>
              <w:t>目的</w:t>
            </w:r>
          </w:p>
        </w:tc>
        <w:tc>
          <w:tcPr>
            <w:tcW w:type="dxa" w:w="1813"/>
          </w:tcPr>
          <w:p>
            <w:r>
              <w:t>主要响应指标</w:t>
            </w:r>
          </w:p>
        </w:tc>
        <w:tc>
          <w:tcPr>
            <w:tcW w:type="dxa" w:w="1813"/>
          </w:tcPr>
          <w:p>
            <w:r>
              <w:t>必要对照/消融</w:t>
            </w:r>
          </w:p>
        </w:tc>
      </w:tr>
      <w:tr>
        <w:tc>
          <w:tcPr>
            <w:tcW w:type="dxa" w:w="1813"/>
          </w:tcPr>
          <w:p>
            <w:r>
              <w:t>机理验证</w:t>
            </w:r>
          </w:p>
        </w:tc>
        <w:tc>
          <w:tcPr>
            <w:tcW w:type="dxa" w:w="1813"/>
          </w:tcPr>
          <w:p>
            <w:r>
              <w:t>HRA_dev（通过指派策略产生差异）</w:t>
            </w:r>
          </w:p>
        </w:tc>
        <w:tc>
          <w:tcPr>
            <w:tcW w:type="dxa" w:w="1813"/>
          </w:tcPr>
          <w:p>
            <w:r>
              <w:t>验证因果链方向与放大环节</w:t>
            </w:r>
          </w:p>
        </w:tc>
        <w:tc>
          <w:tcPr>
            <w:tcW w:type="dxa" w:w="1813"/>
          </w:tcPr>
          <w:p>
            <w:r>
              <w:t>Δt；O_IO；Q_IO/A_queue；TL_95/C_max；TRate/TT</w:t>
            </w:r>
          </w:p>
        </w:tc>
        <w:tc>
          <w:tcPr>
            <w:tcW w:type="dxa" w:w="1813"/>
          </w:tcPr>
          <w:p>
            <w:r>
              <w:t>基线粗放指派 vs 规则指派</w:t>
            </w:r>
          </w:p>
        </w:tc>
      </w:tr>
      <w:tr>
        <w:tc>
          <w:tcPr>
            <w:tcW w:type="dxa" w:w="1813"/>
          </w:tcPr>
          <w:p>
            <w:r>
              <w:t>模型一评估</w:t>
            </w:r>
          </w:p>
        </w:tc>
        <w:tc>
          <w:tcPr>
            <w:tcW w:type="dxa" w:w="1813"/>
          </w:tcPr>
          <w:p>
            <w:r>
              <w:t>资源指派规则/静态优化开关；拆分决策开关</w:t>
            </w:r>
          </w:p>
        </w:tc>
        <w:tc>
          <w:tcPr>
            <w:tcW w:type="dxa" w:w="1813"/>
          </w:tcPr>
          <w:p>
            <w:r>
              <w:t>源头压缩Δt与占位风险</w:t>
            </w:r>
          </w:p>
        </w:tc>
        <w:tc>
          <w:tcPr>
            <w:tcW w:type="dxa" w:w="1813"/>
          </w:tcPr>
          <w:p>
            <w:r>
              <w:t>HRA_dev；Δt；O_IO；下游指标</w:t>
            </w:r>
          </w:p>
        </w:tc>
        <w:tc>
          <w:tcPr>
            <w:tcW w:type="dxa" w:w="1813"/>
          </w:tcPr>
          <w:p>
            <w:r>
              <w:t>仅指派/仅拆分/同时启用（消融）</w:t>
            </w:r>
          </w:p>
        </w:tc>
      </w:tr>
      <w:tr>
        <w:tc>
          <w:tcPr>
            <w:tcW w:type="dxa" w:w="1813"/>
          </w:tcPr>
          <w:p>
            <w:r>
              <w:t>模型二评估</w:t>
            </w:r>
          </w:p>
        </w:tc>
        <w:tc>
          <w:tcPr>
            <w:tcW w:type="dxa" w:w="1813"/>
          </w:tcPr>
          <w:p>
            <w:r>
              <w:t>拥堵阈值；批次大小K_r；释放顺序；动态代理开关</w:t>
            </w:r>
          </w:p>
        </w:tc>
        <w:tc>
          <w:tcPr>
            <w:tcW w:type="dxa" w:w="1813"/>
          </w:tcPr>
          <w:p>
            <w:r>
              <w:t>控制拥堵并抑制尾部与逾期，兼顾吞吐</w:t>
            </w:r>
          </w:p>
        </w:tc>
        <w:tc>
          <w:tcPr>
            <w:tcW w:type="dxa" w:w="1813"/>
          </w:tcPr>
          <w:p>
            <w:r>
              <w:t>Q_IO/A_queue；κ(t)；吞吐TR(t)；TL_95/C_max；TRate/TT</w:t>
            </w:r>
          </w:p>
        </w:tc>
        <w:tc>
          <w:tcPr>
            <w:tcW w:type="dxa" w:w="1813"/>
          </w:tcPr>
          <w:p>
            <w:r>
              <w:t>无动态下达；固定K；静态代理；无排序切换</w:t>
            </w:r>
          </w:p>
        </w:tc>
      </w:tr>
      <w:tr>
        <w:tc>
          <w:tcPr>
            <w:tcW w:type="dxa" w:w="1813"/>
          </w:tcPr>
          <w:p>
            <w:r>
              <w:t>稳健性</w:t>
            </w:r>
          </w:p>
        </w:tc>
        <w:tc>
          <w:tcPr>
            <w:tcW w:type="dxa" w:w="1813"/>
          </w:tcPr>
          <w:p>
            <w:r>
              <w:t>到达强度（低/中/高）；背景扰动流比例；(c,s)容量</w:t>
            </w:r>
          </w:p>
        </w:tc>
        <w:tc>
          <w:tcPr>
            <w:tcW w:type="dxa" w:w="1813"/>
          </w:tcPr>
          <w:p>
            <w:r>
              <w:t>排除结论依赖特定参数</w:t>
            </w:r>
          </w:p>
        </w:tc>
        <w:tc>
          <w:tcPr>
            <w:tcW w:type="dxa" w:w="1813"/>
          </w:tcPr>
          <w:p>
            <w:r>
              <w:t>主要指标方向一致性；策略优势稳定性</w:t>
            </w:r>
          </w:p>
        </w:tc>
        <w:tc>
          <w:tcPr>
            <w:tcW w:type="dxa" w:w="1813"/>
          </w:tcPr>
          <w:p>
            <w:r>
              <w:t>参数敏感性曲线与交互效应讨论</w:t>
            </w:r>
          </w:p>
        </w:tc>
      </w:tr>
    </w:tbl>
    <w:p>
      <w:pPr>
        <w:pStyle w:val="Heading2"/>
      </w:pPr>
      <w:r>
        <w:t>图表清单（建议）</w:t>
      </w:r>
    </w:p>
    <w:p>
      <w:pPr>
        <w:spacing w:before="0" w:after="40" w:line="300" w:lineRule="auto"/>
      </w:pPr>
      <w:r>
        <w:t>• 图：研究总体逻辑图（因果主线与模型对应）。</w:t>
      </w:r>
    </w:p>
    <w:p>
      <w:pPr>
        <w:spacing w:before="0" w:after="40" w:line="300" w:lineRule="auto"/>
      </w:pPr>
      <w:r>
        <w:t>• 图：基线与策略组的交接节点队列长度 Q_IO(t) 时间序列与队列面积 A_queue 对比。</w:t>
      </w:r>
    </w:p>
    <w:p>
      <w:pPr>
        <w:spacing w:before="0" w:after="40" w:line="300" w:lineRule="auto"/>
      </w:pPr>
      <w:r>
        <w:t>• 图：Δt 与 O_IO 的分布对比（拆分订单子样本）。</w:t>
      </w:r>
    </w:p>
    <w:p>
      <w:pPr>
        <w:spacing w:before="0" w:after="40" w:line="300" w:lineRule="auto"/>
      </w:pPr>
      <w:r>
        <w:t>• 图：TL_95 与/或 C_max 在不同到达强度与容量设定下的响应曲线。</w:t>
      </w:r>
    </w:p>
    <w:p>
      <w:pPr>
        <w:spacing w:before="0" w:after="40" w:line="300" w:lineRule="auto"/>
      </w:pPr>
      <w:r>
        <w:t>• 图：逾期率/总逾期时间与吞吐约束的权衡关系（Pareto或对照柱状）。</w:t>
      </w:r>
    </w:p>
    <w:p>
      <w:pPr>
        <w:spacing w:before="0" w:after="40" w:line="300" w:lineRule="auto"/>
      </w:pPr>
      <w:r>
        <w:t>• 表：术语对齐与指标口径；表：章节产出；表：变量口径；表：实验设计；表：消融结果汇总。</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