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220B1" w14:textId="77777777" w:rsidR="00700587" w:rsidRDefault="00700587">
      <w:pPr>
        <w:ind w:left="210" w:firstLine="420"/>
        <w:rPr>
          <w:b/>
          <w:bCs/>
        </w:rPr>
      </w:pPr>
      <w:r w:rsidRPr="00700587">
        <w:rPr>
          <w:b/>
          <w:bCs/>
        </w:rPr>
        <w:t>基于能力匹配与拥堵感知的仓储异构资源协同调度研究</w:t>
      </w:r>
    </w:p>
    <w:p w14:paraId="7C431854" w14:textId="41418B19" w:rsidR="003B269E" w:rsidRDefault="00952F30">
      <w:pPr>
        <w:ind w:left="210" w:firstLine="420"/>
      </w:pPr>
      <w:r>
        <w:rPr>
          <w:rFonts w:hint="eastAsia"/>
        </w:rPr>
        <w:t>研究背景</w:t>
      </w:r>
    </w:p>
    <w:p w14:paraId="209E0D9A" w14:textId="1C0B503E" w:rsidR="00952F30" w:rsidRPr="00952F30" w:rsidRDefault="00952F30" w:rsidP="00952F30">
      <w:pPr>
        <w:ind w:left="210" w:firstLine="420"/>
      </w:pPr>
      <w:r w:rsidRPr="00952F30">
        <w:t>近年来，随着宏观经济环境的演变与零售模式的重塑，鞋</w:t>
      </w:r>
      <w:proofErr w:type="gramStart"/>
      <w:r w:rsidRPr="00952F30">
        <w:t>服行业</w:t>
      </w:r>
      <w:proofErr w:type="gramEnd"/>
      <w:r w:rsidRPr="00952F30">
        <w:t>的供应</w:t>
      </w:r>
      <w:proofErr w:type="gramStart"/>
      <w:r w:rsidRPr="00952F30">
        <w:t>链结构</w:t>
      </w:r>
      <w:proofErr w:type="gramEnd"/>
      <w:r w:rsidRPr="00952F30">
        <w:t>正在经历深刻的转变。为应对市场波动并提升库存周转率，越来越多企业从单一的</w:t>
      </w:r>
      <w:r w:rsidRPr="00952F30">
        <w:rPr>
          <w:b/>
          <w:bCs/>
        </w:rPr>
        <w:t>垂直客</w:t>
      </w:r>
      <w:proofErr w:type="gramStart"/>
      <w:r w:rsidRPr="00952F30">
        <w:rPr>
          <w:b/>
          <w:bCs/>
        </w:rPr>
        <w:t>群销售</w:t>
      </w:r>
      <w:proofErr w:type="gramEnd"/>
      <w:r w:rsidRPr="00952F30">
        <w:rPr>
          <w:b/>
          <w:bCs/>
        </w:rPr>
        <w:t>模式</w:t>
      </w:r>
      <w:r w:rsidRPr="00952F30">
        <w:t>转向多元化的</w:t>
      </w:r>
      <w:proofErr w:type="gramStart"/>
      <w:r w:rsidRPr="00952F30">
        <w:rPr>
          <w:b/>
          <w:bCs/>
        </w:rPr>
        <w:t>全渠道</w:t>
      </w:r>
      <w:proofErr w:type="gramEnd"/>
      <w:r w:rsidRPr="00952F30">
        <w:rPr>
          <w:b/>
          <w:bCs/>
        </w:rPr>
        <w:t>融合布局</w:t>
      </w:r>
      <w:r w:rsidRPr="00952F30">
        <w:t>。这种销售终端的变化直接传导至后端的仓储物流环节，</w:t>
      </w:r>
      <w:r w:rsidR="00EE1DD9" w:rsidRPr="00EE1DD9">
        <w:t>促使传统</w:t>
      </w:r>
      <w:r w:rsidR="00EE1DD9" w:rsidRPr="00EE1DD9">
        <w:rPr>
          <w:b/>
          <w:bCs/>
        </w:rPr>
        <w:t>按订单属性与流通渠道划分的分立式单仓单一履约场景仓储履约模式</w:t>
      </w:r>
      <w:r w:rsidR="00EE1DD9" w:rsidRPr="00EE1DD9">
        <w:t>，逐步</w:t>
      </w:r>
      <w:proofErr w:type="gramStart"/>
      <w:r w:rsidR="00EE1DD9" w:rsidRPr="00EE1DD9">
        <w:t>向</w:t>
      </w:r>
      <w:r w:rsidR="00EE1DD9" w:rsidRPr="00EE1DD9">
        <w:rPr>
          <w:b/>
          <w:bCs/>
        </w:rPr>
        <w:t>共仓共配</w:t>
      </w:r>
      <w:proofErr w:type="gramEnd"/>
      <w:r w:rsidR="00EE1DD9" w:rsidRPr="00EE1DD9">
        <w:rPr>
          <w:b/>
          <w:bCs/>
        </w:rPr>
        <w:t>的混合履约模式</w:t>
      </w:r>
      <w:r w:rsidR="00EE1DD9" w:rsidRPr="00EE1DD9">
        <w:t>演进。</w:t>
      </w:r>
      <w:r w:rsidRPr="00952F30">
        <w:t>在混合履约环境下，仓储系统必须同时处理两类特征截然不同的订单流：一类是服务于线下门店与经销商的批发订单，通常表现为少批次、大批量、整箱补货；另一类是直接面向终端消费者的电商订单，具有多批次、小批量、高离散度的特点。更具挑战性的是，实际运行中存在大量兼具上述两种属性的拆分订单（Split Orders），即单一订单内同时包含整箱大件与</w:t>
      </w:r>
      <w:r w:rsidR="009E58EE">
        <w:rPr>
          <w:rFonts w:hint="eastAsia"/>
        </w:rPr>
        <w:t>拆零</w:t>
      </w:r>
      <w:r w:rsidRPr="00952F30">
        <w:t>散件。这种订单结构的显著差异，叠加电商履约对发货</w:t>
      </w:r>
      <w:proofErr w:type="gramStart"/>
      <w:r w:rsidRPr="00952F30">
        <w:t>截单时间</w:t>
      </w:r>
      <w:proofErr w:type="gramEnd"/>
      <w:r w:rsidRPr="00952F30">
        <w:t>的严苛要求，使得传统单一的仓储作业模式面临巨大压力。</w:t>
      </w:r>
    </w:p>
    <w:p w14:paraId="6A7C831E" w14:textId="77777777" w:rsidR="00952F30" w:rsidRPr="00952F30" w:rsidRDefault="00952F30" w:rsidP="00952F30">
      <w:pPr>
        <w:ind w:left="210" w:firstLine="420"/>
      </w:pPr>
      <w:r w:rsidRPr="00952F30">
        <w:t>面对复杂波动的订单需求，</w:t>
      </w:r>
      <w:proofErr w:type="gramStart"/>
      <w:r w:rsidRPr="00952F30">
        <w:t>现代鞋</w:t>
      </w:r>
      <w:proofErr w:type="gramEnd"/>
      <w:r w:rsidRPr="00952F30">
        <w:t>服仓库普遍配备了多模态的异构拣选资源，例如具备高位获取能力与大载荷的电动拣选车（EPU），以及具备高机动性但载荷有限的人工拣选设备（MPU）。然而，尽管物理层面的拣选工具实现了多样化，仓储管理系统的调度逻辑却往往滞后。当前行业实践普遍依赖先到先服务（FCFS）规则，或采用仅按订单规模进行聚类的粗放型波次策略来进行任务下达。这种做法忽视了订单在体量占比、SKU数量、空间离散度以及高位货架需求等画像特征上的差异，导致在异构资源环境下极易出现任务与资源能力的错配（Capacity-Task Mismatch）。例如，将离散度高、单件数量少的拆零任务随机指派给体积庞大的电动车，不仅浪费了高价值设备的运能，还会导致大车在</w:t>
      </w:r>
      <w:proofErr w:type="gramStart"/>
      <w:r w:rsidRPr="00952F30">
        <w:t>狭窄拣货巷道</w:t>
      </w:r>
      <w:proofErr w:type="gramEnd"/>
      <w:r w:rsidRPr="00952F30">
        <w:t>内频繁启停，挤占主干通道的通行能力并引发物理阻塞；反之，若将大</w:t>
      </w:r>
      <w:proofErr w:type="gramStart"/>
      <w:r w:rsidRPr="00952F30">
        <w:t>批量或</w:t>
      </w:r>
      <w:proofErr w:type="gramEnd"/>
      <w:r w:rsidRPr="00952F30">
        <w:t>含高位存货的任务指派给人工拣选，则会使其因负载过高或能力受限而导致效率急剧下降。这种结构性的能力错配不仅推高了平均作业成本，更使得仓内各项</w:t>
      </w:r>
      <w:proofErr w:type="gramStart"/>
      <w:r w:rsidRPr="00952F30">
        <w:t>子任务</w:t>
      </w:r>
      <w:proofErr w:type="gramEnd"/>
      <w:r w:rsidRPr="00952F30">
        <w:t>的处理时间产生巨大的波动。</w:t>
      </w:r>
    </w:p>
    <w:p w14:paraId="45BEFC40" w14:textId="77777777" w:rsidR="00952F30" w:rsidRPr="00952F30" w:rsidRDefault="00952F30" w:rsidP="00952F30">
      <w:pPr>
        <w:ind w:left="210" w:firstLine="420"/>
      </w:pPr>
      <w:r w:rsidRPr="00952F30">
        <w:t>任务与资源错配所造成的负面影响，在</w:t>
      </w:r>
      <w:proofErr w:type="gramStart"/>
      <w:r w:rsidRPr="00952F30">
        <w:t>全渠道</w:t>
      </w:r>
      <w:proofErr w:type="gramEnd"/>
      <w:r w:rsidRPr="00952F30">
        <w:t>仓储特有的“订单拆分与合并（Order Splitting and Consolidation）”环节被进一步放大。针对广泛存在的混合型订单，仓储作业通常采用并行拣选策略，将其拆分为整箱子任务与拆零子任务，分别交由不同资源执行。由于前期指派错配导致的两类资源处理速率存在显著差异，加之通道内相互阻塞带来的通行延迟，使得同一订单的不同</w:t>
      </w:r>
      <w:proofErr w:type="gramStart"/>
      <w:r w:rsidRPr="00952F30">
        <w:t>子任务</w:t>
      </w:r>
      <w:proofErr w:type="gramEnd"/>
      <w:r w:rsidRPr="00952F30">
        <w:t>到达下游交接区（I/O）的时间产生了严重的到达异步性（Arrival Asynchrony）。在交接区物理暂存容量和操作台数量受限的客观条件下，这种到达时间的错位引发了极具破坏性的合并等待（Consolidation Waiting）问题。先到达的</w:t>
      </w:r>
      <w:proofErr w:type="gramStart"/>
      <w:r w:rsidRPr="00952F30">
        <w:t>子任务</w:t>
      </w:r>
      <w:proofErr w:type="gramEnd"/>
      <w:r w:rsidRPr="00952F30">
        <w:t>必须在缓存工位上</w:t>
      </w:r>
      <w:proofErr w:type="gramStart"/>
      <w:r w:rsidRPr="00952F30">
        <w:t>持续占</w:t>
      </w:r>
      <w:proofErr w:type="gramEnd"/>
      <w:r w:rsidRPr="00952F30">
        <w:t>位，被动等待进度滞后的另一部分</w:t>
      </w:r>
      <w:proofErr w:type="gramStart"/>
      <w:r w:rsidRPr="00952F30">
        <w:t>子任务</w:t>
      </w:r>
      <w:proofErr w:type="gramEnd"/>
      <w:r w:rsidRPr="00952F30">
        <w:t>到齐，方可完成复核与交接。随着</w:t>
      </w:r>
      <w:proofErr w:type="gramStart"/>
      <w:r w:rsidRPr="00952F30">
        <w:t>子任务</w:t>
      </w:r>
      <w:proofErr w:type="gramEnd"/>
      <w:r w:rsidRPr="00952F30">
        <w:t>到达时间差的不断拉大，交接区有限的暂存资源会被大量陷入“等待齐套”状态的半成品订单长期无效占用。这种物理容量的耗尽会迅速向上传导，导致后续已完成拣选的订单无法顺利进入交接区，最终在核心关键节点引发级联式的排队与严重的系统拥堵。</w:t>
      </w:r>
    </w:p>
    <w:p w14:paraId="5CF75EED" w14:textId="49702080" w:rsidR="00930851" w:rsidRDefault="00952F30" w:rsidP="00930851">
      <w:pPr>
        <w:ind w:left="210" w:firstLine="420"/>
      </w:pPr>
      <w:r w:rsidRPr="00952F30">
        <w:t>由能力错配引发到达异步，进而导致交接区合并死锁与排队，是</w:t>
      </w:r>
      <w:proofErr w:type="gramStart"/>
      <w:r w:rsidRPr="00952F30">
        <w:t>当前鞋服全渠道</w:t>
      </w:r>
      <w:proofErr w:type="gramEnd"/>
      <w:r w:rsidRPr="00952F30">
        <w:t>仓内履约可靠性丧失的深层机理。其最直接的后果是，即使在系统整体资源利用率尚未饱和的情况下，订单的履约时间分布依然会出现明显的长尾现象（Tail Latency），导致大批高价值的加急订单（VIP订单）无法在承诺的服务水平协议（SLA，如4小时内发货）内完成交付，违约率急剧上升。相关文献与物流实践表明，在存在共享物理瓶颈的复杂仓储系统中，单纯通过增加劳动力或车辆设备的“粗放扩容”不仅面临边际效益递减，甚至可能因为加剧空间干涉而导致总体有效产出下降。因此，立足于资源受限的实际运营环</w:t>
      </w:r>
      <w:r w:rsidRPr="00952F30">
        <w:lastRenderedPageBreak/>
        <w:t>境，摒弃单纯追求局部路径最短的传统思路显得尤为迫切。这要求从源头出发，构建基于订单特征的异构资源能力匹配机制以消除错配；并在执行过程中引入感知系统拥堵状态的滚动放行与动态分批控制策略。旨在通过管理策略与业务规则的优化，治理仓内履约过程中的同步性失效问题，从而在不扩充物理产能的前提下，有效平抑瓶颈排队，恢复并保障</w:t>
      </w:r>
      <w:proofErr w:type="gramStart"/>
      <w:r w:rsidRPr="00952F30">
        <w:t>全渠道</w:t>
      </w:r>
      <w:proofErr w:type="gramEnd"/>
      <w:r w:rsidRPr="00952F30">
        <w:t>仓储的履约时效与可靠性。</w:t>
      </w:r>
    </w:p>
    <w:p w14:paraId="09F747DD" w14:textId="24A8A807" w:rsidR="00930851" w:rsidRDefault="00930851" w:rsidP="00930851">
      <w:pPr>
        <w:ind w:left="210" w:firstLine="420"/>
      </w:pPr>
      <w:r>
        <w:rPr>
          <w:rFonts w:hint="eastAsia"/>
        </w:rPr>
        <w:t>研究意义</w:t>
      </w:r>
    </w:p>
    <w:p w14:paraId="33B0CDC9" w14:textId="77777777" w:rsidR="00930851" w:rsidRPr="00930851" w:rsidRDefault="00930851" w:rsidP="00930851">
      <w:pPr>
        <w:ind w:left="210" w:firstLine="420"/>
      </w:pPr>
      <w:r w:rsidRPr="00930851">
        <w:t>本研究从资源受限调度与瓶颈管理的视角，拓展了异构订单履约在</w:t>
      </w:r>
      <w:proofErr w:type="gramStart"/>
      <w:r w:rsidRPr="00930851">
        <w:t>全渠道</w:t>
      </w:r>
      <w:proofErr w:type="gramEnd"/>
      <w:r w:rsidRPr="00930851">
        <w:t>仓储中的理论框架。现有仓储优化文献多聚焦于单一拣选环节的路径规划或同质化订单的分批，往往将</w:t>
      </w:r>
      <w:proofErr w:type="gramStart"/>
      <w:r w:rsidRPr="00930851">
        <w:t>拣货执行</w:t>
      </w:r>
      <w:proofErr w:type="gramEnd"/>
      <w:r w:rsidRPr="00930851">
        <w:t>与合流交接视为独立过程，较少关注多任务并发时因处理速率差异引发的同步失效问题。本文弥补了这一视角的局限，明确界定并验证了“任务-资源错配——到达异步——交接区合并等待与占位——尾部延迟失控”的传导机理。通过引入节点容量受限与超额占用的概念，本研究定量论证了上游局部环节的错配是如何在作业流推进中，转化为下游共享节点的全局性排队拥堵的。在此基础上，本文跳出了单纯依赖拣选路径寻优以提升平均效率的传统思路，构建了“基于订单画像的静态指派与基于拥堵感知的滚动放行”相结合的控制结构。这一结构不仅为解析人机混合作业环境下的合并死锁现象提供了新的机制解释，也为资源约束条件下控制履约时间的尾部风险（如P95）和SLA违约</w:t>
      </w:r>
      <w:proofErr w:type="gramStart"/>
      <w:r w:rsidRPr="00930851">
        <w:t>率提供</w:t>
      </w:r>
      <w:proofErr w:type="gramEnd"/>
      <w:r w:rsidRPr="00930851">
        <w:t>了系统性的方法论支撑。</w:t>
      </w:r>
    </w:p>
    <w:p w14:paraId="20D35CF5" w14:textId="77777777" w:rsidR="00930851" w:rsidRPr="00930851" w:rsidRDefault="00930851" w:rsidP="00930851">
      <w:pPr>
        <w:ind w:left="210" w:firstLine="420"/>
      </w:pPr>
      <w:r w:rsidRPr="00930851">
        <w:t>在工程与管理实践层面，本研究为面临</w:t>
      </w:r>
      <w:proofErr w:type="gramStart"/>
      <w:r w:rsidRPr="00930851">
        <w:t>全渠道</w:t>
      </w:r>
      <w:proofErr w:type="gramEnd"/>
      <w:r w:rsidRPr="00930851">
        <w:t>履约压力且短期内无法进行物理扩容的鞋服仓储企业，提供了一套基于规则干预的可靠性治理方案。在当前“多频次、碎片化、按单合流”的混合订单趋势下，仓储内部普遍存在电动拣选车（EPU）与人工（MPU）并存的异构资源。然而，行业内常用的先到先服务（FCFS）或粗放波次策略忽视了订单的作业形态特征，极易导致“大车进小路干碎活”或“人工处理高位重货”的错配现象。这不仅浪费了局部效能，更造成拆分订单的</w:t>
      </w:r>
      <w:proofErr w:type="gramStart"/>
      <w:r w:rsidRPr="00930851">
        <w:t>子任务</w:t>
      </w:r>
      <w:proofErr w:type="gramEnd"/>
      <w:r w:rsidRPr="00930851">
        <w:t>到达时间严重错位，使半成品长时间无效占用稀缺的交接区资源，最终导致高价值加急订单无法在承诺时效内完成交付。本文提出的能力匹配指派模型，通过客观的订单提取特征，在任务下达之</w:t>
      </w:r>
      <w:proofErr w:type="gramStart"/>
      <w:r w:rsidRPr="00930851">
        <w:t>初实现</w:t>
      </w:r>
      <w:proofErr w:type="gramEnd"/>
      <w:r w:rsidRPr="00930851">
        <w:t>与异构资源的合理绑定，从源头降低了错配与到达不同步的风险。同时，本文设计的拥堵感知滚动控制策略，能够依据交接区的实时排队积压状态，动态调节放行批次大小和执行顺序。在系统面临拥堵时，主动减小批次以牺牲部分单次行走效率，换取交接区暂存容量的快速周转与释放。该方案规则明确、计算开销小，能够直接转化为现有仓储管理系统（WMS）的调度逻辑，助力企业以极低的管理成本平抑流量波动，实质性保障订单履约的时效与稳定性。</w:t>
      </w:r>
    </w:p>
    <w:p w14:paraId="238679DD" w14:textId="77777777" w:rsidR="00930851" w:rsidRPr="00930851" w:rsidRDefault="00930851" w:rsidP="00930851">
      <w:pPr>
        <w:ind w:left="210" w:firstLine="420"/>
        <w:rPr>
          <w:rFonts w:hint="eastAsia"/>
        </w:rPr>
      </w:pPr>
    </w:p>
    <w:sectPr w:rsidR="00930851" w:rsidRPr="0093085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84222"/>
    <w:rsid w:val="00084222"/>
    <w:rsid w:val="003B269E"/>
    <w:rsid w:val="00700587"/>
    <w:rsid w:val="00784477"/>
    <w:rsid w:val="007F079A"/>
    <w:rsid w:val="00930851"/>
    <w:rsid w:val="00941DAC"/>
    <w:rsid w:val="00952F30"/>
    <w:rsid w:val="009E58EE"/>
    <w:rsid w:val="00D80646"/>
    <w:rsid w:val="00DB7BB1"/>
    <w:rsid w:val="00EE1D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D3907"/>
  <w15:chartTrackingRefBased/>
  <w15:docId w15:val="{7267B944-8B94-493E-8A0D-341268E17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pPr>
        <w:ind w:leftChars="100" w:left="100"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8422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8422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8422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8422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8422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8422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8422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8422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8422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8422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8422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8422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84222"/>
    <w:rPr>
      <w:rFonts w:cstheme="majorBidi"/>
      <w:color w:val="0F4761" w:themeColor="accent1" w:themeShade="BF"/>
      <w:sz w:val="28"/>
      <w:szCs w:val="28"/>
    </w:rPr>
  </w:style>
  <w:style w:type="character" w:customStyle="1" w:styleId="50">
    <w:name w:val="标题 5 字符"/>
    <w:basedOn w:val="a0"/>
    <w:link w:val="5"/>
    <w:uiPriority w:val="9"/>
    <w:semiHidden/>
    <w:rsid w:val="00084222"/>
    <w:rPr>
      <w:rFonts w:cstheme="majorBidi"/>
      <w:color w:val="0F4761" w:themeColor="accent1" w:themeShade="BF"/>
      <w:sz w:val="24"/>
      <w:szCs w:val="24"/>
    </w:rPr>
  </w:style>
  <w:style w:type="character" w:customStyle="1" w:styleId="60">
    <w:name w:val="标题 6 字符"/>
    <w:basedOn w:val="a0"/>
    <w:link w:val="6"/>
    <w:uiPriority w:val="9"/>
    <w:semiHidden/>
    <w:rsid w:val="00084222"/>
    <w:rPr>
      <w:rFonts w:cstheme="majorBidi"/>
      <w:b/>
      <w:bCs/>
      <w:color w:val="0F4761" w:themeColor="accent1" w:themeShade="BF"/>
    </w:rPr>
  </w:style>
  <w:style w:type="character" w:customStyle="1" w:styleId="70">
    <w:name w:val="标题 7 字符"/>
    <w:basedOn w:val="a0"/>
    <w:link w:val="7"/>
    <w:uiPriority w:val="9"/>
    <w:semiHidden/>
    <w:rsid w:val="00084222"/>
    <w:rPr>
      <w:rFonts w:cstheme="majorBidi"/>
      <w:b/>
      <w:bCs/>
      <w:color w:val="595959" w:themeColor="text1" w:themeTint="A6"/>
    </w:rPr>
  </w:style>
  <w:style w:type="character" w:customStyle="1" w:styleId="80">
    <w:name w:val="标题 8 字符"/>
    <w:basedOn w:val="a0"/>
    <w:link w:val="8"/>
    <w:uiPriority w:val="9"/>
    <w:semiHidden/>
    <w:rsid w:val="00084222"/>
    <w:rPr>
      <w:rFonts w:cstheme="majorBidi"/>
      <w:color w:val="595959" w:themeColor="text1" w:themeTint="A6"/>
    </w:rPr>
  </w:style>
  <w:style w:type="character" w:customStyle="1" w:styleId="90">
    <w:name w:val="标题 9 字符"/>
    <w:basedOn w:val="a0"/>
    <w:link w:val="9"/>
    <w:uiPriority w:val="9"/>
    <w:semiHidden/>
    <w:rsid w:val="00084222"/>
    <w:rPr>
      <w:rFonts w:eastAsiaTheme="majorEastAsia" w:cstheme="majorBidi"/>
      <w:color w:val="595959" w:themeColor="text1" w:themeTint="A6"/>
    </w:rPr>
  </w:style>
  <w:style w:type="paragraph" w:styleId="a3">
    <w:name w:val="Title"/>
    <w:basedOn w:val="a"/>
    <w:next w:val="a"/>
    <w:link w:val="a4"/>
    <w:uiPriority w:val="10"/>
    <w:qFormat/>
    <w:rsid w:val="0008422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842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4222"/>
    <w:pPr>
      <w:numPr>
        <w:ilvl w:val="1"/>
      </w:numPr>
      <w:spacing w:after="160"/>
      <w:ind w:leftChars="100" w:left="100"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8422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84222"/>
    <w:pPr>
      <w:spacing w:before="160" w:after="160"/>
      <w:jc w:val="center"/>
    </w:pPr>
    <w:rPr>
      <w:i/>
      <w:iCs/>
      <w:color w:val="404040" w:themeColor="text1" w:themeTint="BF"/>
    </w:rPr>
  </w:style>
  <w:style w:type="character" w:customStyle="1" w:styleId="a8">
    <w:name w:val="引用 字符"/>
    <w:basedOn w:val="a0"/>
    <w:link w:val="a7"/>
    <w:uiPriority w:val="29"/>
    <w:rsid w:val="00084222"/>
    <w:rPr>
      <w:i/>
      <w:iCs/>
      <w:color w:val="404040" w:themeColor="text1" w:themeTint="BF"/>
    </w:rPr>
  </w:style>
  <w:style w:type="paragraph" w:styleId="a9">
    <w:name w:val="List Paragraph"/>
    <w:basedOn w:val="a"/>
    <w:uiPriority w:val="34"/>
    <w:qFormat/>
    <w:rsid w:val="00084222"/>
    <w:pPr>
      <w:ind w:left="720"/>
      <w:contextualSpacing/>
    </w:pPr>
  </w:style>
  <w:style w:type="character" w:styleId="aa">
    <w:name w:val="Intense Emphasis"/>
    <w:basedOn w:val="a0"/>
    <w:uiPriority w:val="21"/>
    <w:qFormat/>
    <w:rsid w:val="00084222"/>
    <w:rPr>
      <w:i/>
      <w:iCs/>
      <w:color w:val="0F4761" w:themeColor="accent1" w:themeShade="BF"/>
    </w:rPr>
  </w:style>
  <w:style w:type="paragraph" w:styleId="ab">
    <w:name w:val="Intense Quote"/>
    <w:basedOn w:val="a"/>
    <w:next w:val="a"/>
    <w:link w:val="ac"/>
    <w:uiPriority w:val="30"/>
    <w:qFormat/>
    <w:rsid w:val="000842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84222"/>
    <w:rPr>
      <w:i/>
      <w:iCs/>
      <w:color w:val="0F4761" w:themeColor="accent1" w:themeShade="BF"/>
    </w:rPr>
  </w:style>
  <w:style w:type="character" w:styleId="ad">
    <w:name w:val="Intense Reference"/>
    <w:basedOn w:val="a0"/>
    <w:uiPriority w:val="32"/>
    <w:qFormat/>
    <w:rsid w:val="000842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2227</TotalTime>
  <Pages>2</Pages>
  <Words>404</Words>
  <Characters>2308</Characters>
  <Application>Microsoft Office Word</Application>
  <DocSecurity>0</DocSecurity>
  <Lines>19</Lines>
  <Paragraphs>5</Paragraphs>
  <ScaleCrop>false</ScaleCrop>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穗杰 廖</dc:creator>
  <cp:keywords/>
  <dc:description/>
  <cp:lastModifiedBy>穗杰 廖</cp:lastModifiedBy>
  <cp:revision>2</cp:revision>
  <dcterms:created xsi:type="dcterms:W3CDTF">2026-02-25T17:31:00Z</dcterms:created>
  <dcterms:modified xsi:type="dcterms:W3CDTF">2026-02-27T06:38:00Z</dcterms:modified>
</cp:coreProperties>
</file>