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44"/>
        </w:rPr>
        <w:t>鞋服全渠道仓储履约可靠性研究</w:t>
      </w:r>
    </w:p>
    <w:p>
      <w:pPr>
        <w:jc w:val="center"/>
      </w:pPr>
      <w:r>
        <w:rPr>
          <w:rFonts w:ascii="Times New Roman" w:hAnsi="Times New Roman" w:eastAsia="宋体"/>
          <w:b w:val="0"/>
          <w:sz w:val="28"/>
        </w:rPr>
        <w:t>——基于异构资源分配、订单合并同步性与动态订单下达的离散事件仿真分析</w:t>
      </w:r>
    </w:p>
    <w:p/>
    <w:p>
      <w:pPr>
        <w:jc w:val="center"/>
      </w:pPr>
      <w:r>
        <w:rPr>
          <w:rFonts w:ascii="Times New Roman" w:hAnsi="Times New Roman" w:eastAsia="宋体"/>
          <w:b w:val="0"/>
          <w:sz w:val="22"/>
        </w:rPr>
        <w:t>（初稿：按‘最新框架与仿真实施清单’撰写，章节结构参照参考论文写法）</w:t>
      </w:r>
    </w:p>
    <w:p/>
    <w:p>
      <w:pPr>
        <w:jc w:val="center"/>
      </w:pPr>
      <w:r>
        <w:rPr>
          <w:rFonts w:ascii="Times New Roman" w:hAnsi="Times New Roman" w:eastAsia="宋体"/>
          <w:b w:val="0"/>
          <w:sz w:val="24"/>
        </w:rPr>
        <w:t>作者：廖穗杰</w:t>
      </w:r>
    </w:p>
    <w:p>
      <w:pPr>
        <w:jc w:val="center"/>
      </w:pPr>
      <w:r>
        <w:rPr>
          <w:rFonts w:ascii="Times New Roman" w:hAnsi="Times New Roman" w:eastAsia="宋体"/>
          <w:b w:val="0"/>
          <w:sz w:val="24"/>
        </w:rPr>
        <w:t>日期：2026年2月</w:t>
      </w:r>
    </w:p>
    <w:p>
      <w:r>
        <w:br w:type="page"/>
      </w:r>
    </w:p>
    <w:p>
      <w:pPr>
        <w:pStyle w:val="Heading1"/>
      </w:pPr>
      <w:r>
        <w:rPr>
          <w:rFonts w:ascii="Times New Roman" w:hAnsi="Times New Roman" w:eastAsia="宋体"/>
          <w:b/>
          <w:sz w:val="32"/>
        </w:rPr>
        <w:t>摘  要</w:t>
      </w:r>
    </w:p>
    <w:p>
      <w:r>
        <w:rPr>
          <w:rFonts w:ascii="Times New Roman" w:hAnsi="Times New Roman" w:eastAsia="宋体"/>
          <w:b w:val="0"/>
          <w:sz w:val="24"/>
        </w:rPr>
        <w:t>本文以鞋服全渠道履约中心的仓内出库拣选与交接作业为研究对象，研究边界限定为订单进入拣选池至交接区完成合并服务（Ready-to-Ship）。在资源与通道容量短周期刚性约束下，异质订单与异构拣选资源并存。粗放调度将引发异构资源分配偏差，进而导致拆分订单子任务到达异步；到达异步转化为交接节点的订单合并同步性占位，诱发拥堵并推高周转时间尾部延迟（第95百分位）/最大完工时间与逾期水平。为此，本文构建‘机理验证—模型一—模型二—仿真评估’的研究路径：模型一通过静态规划进行异构资源分配与拆分决策，在源头压缩到达异步；模型二进行动态订单下达，并利用拥堵阈值触发分批规模缩减与释放顺序调整，以截断排队向尾部风险的传导。本文以离散事件仿真为实验平台，采用对照与消融方式评估策略在峰值扰动下对尾部与逾期指标的改善，并报告吞吐约束下的稳健性结论。</w:t>
      </w:r>
    </w:p>
    <w:p>
      <w:r>
        <w:rPr>
          <w:rFonts w:ascii="Times New Roman" w:hAnsi="Times New Roman" w:eastAsia="宋体"/>
          <w:b w:val="0"/>
          <w:sz w:val="24"/>
        </w:rPr>
        <w:t>关键词：全渠道履约；异构资源分配；订单合并同步性；动态订单下达；离散事件仿真</w:t>
      </w:r>
    </w:p>
    <w:p>
      <w:pPr>
        <w:pStyle w:val="Heading1"/>
      </w:pPr>
      <w:r>
        <w:rPr>
          <w:rFonts w:ascii="Times New Roman" w:hAnsi="Times New Roman" w:eastAsia="宋体"/>
          <w:b/>
          <w:sz w:val="32"/>
        </w:rPr>
        <w:t>ABSTRACT</w:t>
      </w:r>
    </w:p>
    <w:p>
      <w:r>
        <w:rPr>
          <w:rFonts w:ascii="Times New Roman" w:hAnsi="Times New Roman" w:eastAsia="宋体"/>
          <w:b w:val="0"/>
          <w:sz w:val="24"/>
        </w:rPr>
        <w:t>This thesis studies intra-warehouse outbound picking and consolidation operations in an omni-channel apparel fulfillment center. The process boundary is defined as from order release into the picking pool to Ready-to-Ship completion at the I/O consolidation node. Under rigid short-term constraints on heterogeneous resources and aisle/I/O capacities, coarse dispatching may induce capability–task mismatch, which causes arrival asynchrony for split-order sub-tasks. Such asynchrony occupies the consolidation node, triggers congestion, and deteriorates tail cycle-time performance (95th percentile)/maximum makespan and tardiness outcomes. We follow a mechanism–model–simulation workflow. Model 1 addresses heterogeneous resource allocation and split decisions in a static planning setting to compress arrival gaps. Model 2 designs congestion-aware dynamic order release with batching/sequencing adjustments to cut off the propagation from queues to tail risks. A discrete-event simulation platform is implemented to conduct controlled experiments, ablation studies, and robustness checks under peak-demand perturbations.</w:t>
      </w:r>
    </w:p>
    <w:p>
      <w:r>
        <w:rPr>
          <w:rFonts w:ascii="Times New Roman" w:hAnsi="Times New Roman" w:eastAsia="宋体"/>
          <w:b w:val="0"/>
          <w:sz w:val="22"/>
        </w:rPr>
        <w:t>Key words: Omni-channel fulfillment; Heterogeneous resource allocation; Order consolidation synchronization; Dynamic order release; Discrete-event simulation</w:t>
      </w:r>
    </w:p>
    <w:p>
      <w:r>
        <w:br w:type="page"/>
      </w:r>
    </w:p>
    <w:p>
      <w:pPr>
        <w:pStyle w:val="Heading1"/>
      </w:pPr>
      <w:r>
        <w:rPr>
          <w:rFonts w:ascii="Times New Roman" w:hAnsi="Times New Roman" w:eastAsia="宋体"/>
          <w:b/>
          <w:sz w:val="32"/>
        </w:rPr>
        <w:t>目  录（占位）</w:t>
      </w:r>
    </w:p>
    <w:p>
      <w:r>
        <w:rPr>
          <w:rFonts w:ascii="Times New Roman" w:hAnsi="Times New Roman" w:eastAsia="宋体"/>
          <w:b w:val="0"/>
          <w:sz w:val="22"/>
        </w:rPr>
        <w:t>说明：本初稿为结构化写作版本。后续将根据学校模板生成自动目录与页码。</w:t>
      </w:r>
    </w:p>
    <w:p>
      <w:r>
        <w:rPr>
          <w:rFonts w:ascii="Times New Roman" w:hAnsi="Times New Roman" w:eastAsia="宋体"/>
          <w:b w:val="0"/>
          <w:sz w:val="22"/>
        </w:rPr>
        <w:t>第一章 绪论</w:t>
        <w:br/>
        <w:t>第二章 相关理论基础及国内外研究现状</w:t>
        <w:br/>
        <w:t>第三章 系统描述、现状与机理研究</w:t>
        <w:br/>
        <w:t>第四章 模型一：异构资源分配与拆分决策模型</w:t>
        <w:br/>
        <w:t>第五章 模型二：动态订单下达、订单分批排序与路径规划模型</w:t>
        <w:br/>
        <w:t>第六章 结论与展望</w:t>
        <w:br/>
        <w:t>参考文献</w:t>
        <w:br/>
        <w:t>附录：符号与数据字段说明</w:t>
      </w:r>
    </w:p>
    <w:p>
      <w:r>
        <w:br w:type="page"/>
      </w:r>
    </w:p>
    <w:p>
      <w:pPr>
        <w:pStyle w:val="Heading1"/>
      </w:pPr>
      <w:r>
        <w:rPr>
          <w:rFonts w:ascii="Times New Roman" w:hAnsi="Times New Roman" w:eastAsia="宋体"/>
          <w:b/>
          <w:sz w:val="32"/>
        </w:rPr>
        <w:t>第一章 绪论</w:t>
      </w:r>
    </w:p>
    <w:p>
      <w:pPr>
        <w:pStyle w:val="Heading2"/>
      </w:pPr>
      <w:r>
        <w:rPr>
          <w:rFonts w:ascii="Times New Roman" w:hAnsi="Times New Roman" w:eastAsia="宋体"/>
          <w:b/>
          <w:sz w:val="28"/>
        </w:rPr>
        <w:t>1.1 研究背景及研究意义</w:t>
      </w:r>
    </w:p>
    <w:p>
      <w:pPr>
        <w:pStyle w:val="Heading3"/>
      </w:pPr>
      <w:r>
        <w:rPr>
          <w:rFonts w:ascii="Times New Roman" w:hAnsi="Times New Roman" w:eastAsia="宋体"/>
          <w:b/>
          <w:sz w:val="24"/>
        </w:rPr>
        <w:t>1.1.1 研究背景</w:t>
      </w:r>
    </w:p>
    <w:p>
      <w:r>
        <w:rPr>
          <w:rFonts w:ascii="Times New Roman" w:hAnsi="Times New Roman" w:eastAsia="宋体"/>
          <w:b w:val="0"/>
          <w:sz w:val="24"/>
        </w:rPr>
        <w:t>在全渠道销售模式下，鞋服企业出库订单同时包含整箱拣选（Case picking）、拆零拣选（Piece picking）与拆分订单（Split orders：同时包含整箱与拆零行项，需要拆分并最终合并）。在日内/班次级调度周期内，拣选资源数量与通道几何通常不可快速扩容，且窄巷道与交接区工位数构成刚性容量约束。当高峰波动到来时，粗放调度容易引发异构资源分配偏差，导致拆分订单子任务作业时间差与到达异步；到达异步进一步转化为交接区的同步等待与占位，并通过排队与阻塞推高周转时间尾部延迟与逾期风险。</w:t>
      </w:r>
    </w:p>
    <w:p>
      <w:pPr>
        <w:pStyle w:val="Heading3"/>
      </w:pPr>
      <w:r>
        <w:rPr>
          <w:rFonts w:ascii="Times New Roman" w:hAnsi="Times New Roman" w:eastAsia="宋体"/>
          <w:b/>
          <w:sz w:val="24"/>
        </w:rPr>
        <w:t>1.1.2 研究意义</w:t>
      </w:r>
    </w:p>
    <w:p>
      <w:r>
        <w:rPr>
          <w:rFonts w:ascii="Times New Roman" w:hAnsi="Times New Roman" w:eastAsia="宋体"/>
          <w:b w:val="0"/>
          <w:sz w:val="24"/>
        </w:rPr>
        <w:t>理论意义：本文将异构资源分配、订单合并同步性与拥堵传播组织为可检验的因果链，并在动态控制章节中给出‘状态—动作—指标’的闭环描述。实践意义：在既定资源与布局条件下，本文提出可部署的指派与动态放行规则，用于降低高价值订单尾部延迟并控制逾期风险，同时避免吞吐率断崖式下降。</w:t>
      </w:r>
    </w:p>
    <w:p>
      <w:pPr>
        <w:pStyle w:val="Heading2"/>
      </w:pPr>
      <w:r>
        <w:rPr>
          <w:rFonts w:ascii="Times New Roman" w:hAnsi="Times New Roman" w:eastAsia="宋体"/>
          <w:b/>
          <w:sz w:val="28"/>
        </w:rPr>
        <w:t>1.2 研究对象、研究边界与关键概念</w:t>
      </w:r>
    </w:p>
    <w:p>
      <w:r>
        <w:rPr>
          <w:rFonts w:ascii="Times New Roman" w:hAnsi="Times New Roman" w:eastAsia="宋体"/>
          <w:b w:val="0"/>
          <w:sz w:val="24"/>
        </w:rPr>
        <w:t>研究对象为鞋服全渠道履约中心（Omni-channel Fulfillment Center）的出库拣选与交接作业。研究边界限定为‘仓内至交接区 Ready-to-Ship’，即订单进入拣选池开始，到订单到达交接区并完成合并服务为止；末端配送不纳入建模与优化。</w:t>
      </w:r>
    </w:p>
    <w:p>
      <w:r>
        <w:rPr>
          <w:rFonts w:ascii="Times New Roman" w:hAnsi="Times New Roman" w:eastAsia="宋体"/>
          <w:b w:val="0"/>
          <w:sz w:val="24"/>
        </w:rPr>
        <w:t>核心概念与指标口径如下：</w:t>
        <w:br/>
        <w:t>（1）仓内履约完成时间 D_i：订单 i 的最后一个子任务到达交接区并完成合并服务后的时刻减去订单到达时刻。</w:t>
        <w:br/>
        <w:t>（2）周转时间尾部延迟 TL_95：以 D_i 的第95百分位刻画；最大完工时间 C_max：窗口内完工时刻最大值。</w:t>
        <w:br/>
        <w:t>（3）逾期 T_i=max(0, C_i-d_i)：并以总逾期率 TRate=Σ1(T_i&gt;0)/N 或总逾期时间 TT=ΣT_i 评价。</w:t>
        <w:br/>
        <w:t>（4）异构资源分配（Heterogeneous Resource Allocation）：订单—资源能力差异下的资源指派；偏差可用 HRA_dev 统计。</w:t>
        <w:br/>
        <w:t>（5）订单合并同步性（Order Consolidation Synchronization）：拆分订单子任务到达交接区的同步程度，可用到达异步 Δt 与合并等待/占位 O_IO 度量。</w:t>
        <w:br/>
        <w:t>（6）动态订单下达（Dynamic Order Release）：滚动窗口下的订单释放与放行控制；执行层包含订单分批与排序（Order Batching and Sequencing）与路径规划。</w:t>
      </w:r>
    </w:p>
    <w:p>
      <w:pPr>
        <w:pStyle w:val="Heading3"/>
      </w:pPr>
      <w:r>
        <w:rPr>
          <w:rFonts w:ascii="Times New Roman" w:hAnsi="Times New Roman" w:eastAsia="宋体"/>
          <w:b/>
          <w:sz w:val="24"/>
        </w:rPr>
        <w:t>1.2.1 术语对齐与指标口径（本研究锁定）</w:t>
      </w:r>
    </w:p>
    <w:tbl>
      <w:tblPr>
        <w:tblW w:type="auto" w:w="0"/>
        <w:jc w:val="center"/>
        <w:tblLook w:firstColumn="1" w:firstRow="1" w:lastColumn="0" w:lastRow="0" w:noHBand="0" w:noVBand="1" w:val="04A0"/>
      </w:tblPr>
      <w:tblGrid>
        <w:gridCol w:w="2280"/>
        <w:gridCol w:w="2280"/>
        <w:gridCol w:w="2280"/>
        <w:gridCol w:w="2280"/>
      </w:tblGrid>
      <w:tr>
        <w:tc>
          <w:tcPr>
            <w:tcW w:type="dxa" w:w="2280"/>
            <w:vAlign w:val="center"/>
          </w:tcPr>
          <w:p>
            <w:r>
              <w:rPr>
                <w:rFonts w:ascii="Times New Roman" w:hAnsi="Times New Roman" w:eastAsia="宋体"/>
                <w:b/>
                <w:sz w:val="20"/>
              </w:rPr>
              <w:t>业务表达（不写入正文）</w:t>
            </w:r>
          </w:p>
        </w:tc>
        <w:tc>
          <w:tcPr>
            <w:tcW w:type="dxa" w:w="2280"/>
            <w:vAlign w:val="center"/>
          </w:tcPr>
          <w:p>
            <w:r>
              <w:rPr>
                <w:rFonts w:ascii="Times New Roman" w:hAnsi="Times New Roman" w:eastAsia="宋体"/>
                <w:b/>
                <w:sz w:val="20"/>
              </w:rPr>
              <w:t>统一学术术语（正文用）</w:t>
            </w:r>
          </w:p>
        </w:tc>
        <w:tc>
          <w:tcPr>
            <w:tcW w:type="dxa" w:w="2280"/>
            <w:vAlign w:val="center"/>
          </w:tcPr>
          <w:p>
            <w:r>
              <w:rPr>
                <w:rFonts w:ascii="Times New Roman" w:hAnsi="Times New Roman" w:eastAsia="宋体"/>
                <w:b/>
                <w:sz w:val="20"/>
              </w:rPr>
              <w:t>符号/计算口径</w:t>
            </w:r>
          </w:p>
        </w:tc>
        <w:tc>
          <w:tcPr>
            <w:tcW w:type="dxa" w:w="2280"/>
            <w:vAlign w:val="center"/>
          </w:tcPr>
          <w:p>
            <w:r>
              <w:rPr>
                <w:rFonts w:ascii="Times New Roman" w:hAnsi="Times New Roman" w:eastAsia="宋体"/>
                <w:b/>
                <w:sz w:val="20"/>
              </w:rPr>
              <w:t>备注</w:t>
            </w:r>
          </w:p>
        </w:tc>
      </w:tr>
      <w:tr>
        <w:tc>
          <w:tcPr>
            <w:tcW w:type="dxa" w:w="2280"/>
            <w:vAlign w:val="center"/>
          </w:tcPr>
          <w:p>
            <w:r>
              <w:rPr>
                <w:rFonts w:ascii="Times New Roman" w:hAnsi="Times New Roman" w:eastAsia="宋体"/>
                <w:b w:val="0"/>
                <w:sz w:val="20"/>
              </w:rPr>
              <w:t>P95/长尾效应</w:t>
            </w:r>
          </w:p>
        </w:tc>
        <w:tc>
          <w:tcPr>
            <w:tcW w:type="dxa" w:w="2280"/>
            <w:vAlign w:val="center"/>
          </w:tcPr>
          <w:p>
            <w:r>
              <w:rPr>
                <w:rFonts w:ascii="Times New Roman" w:hAnsi="Times New Roman" w:eastAsia="宋体"/>
                <w:b w:val="0"/>
                <w:sz w:val="20"/>
              </w:rPr>
              <w:t>周转时间尾部延迟 / 最大完工时间</w:t>
            </w:r>
          </w:p>
        </w:tc>
        <w:tc>
          <w:tcPr>
            <w:tcW w:type="dxa" w:w="2280"/>
            <w:vAlign w:val="center"/>
          </w:tcPr>
          <w:p>
            <w:r>
              <w:rPr>
                <w:rFonts w:ascii="Times New Roman" w:hAnsi="Times New Roman" w:eastAsia="宋体"/>
                <w:b w:val="0"/>
                <w:sz w:val="20"/>
              </w:rPr>
              <w:t>TL_95=Quantile_0.95(D_i); C_max=max(C_i)</w:t>
            </w:r>
          </w:p>
        </w:tc>
        <w:tc>
          <w:tcPr>
            <w:tcW w:type="dxa" w:w="2280"/>
            <w:vAlign w:val="center"/>
          </w:tcPr>
          <w:p>
            <w:r>
              <w:rPr>
                <w:rFonts w:ascii="Times New Roman" w:hAnsi="Times New Roman" w:eastAsia="宋体"/>
                <w:b w:val="0"/>
                <w:sz w:val="20"/>
              </w:rPr>
              <w:t>正文写‘第95百分位’，不写P95</w:t>
            </w:r>
          </w:p>
        </w:tc>
      </w:tr>
      <w:tr>
        <w:tc>
          <w:tcPr>
            <w:tcW w:type="dxa" w:w="2280"/>
            <w:vAlign w:val="center"/>
          </w:tcPr>
          <w:p>
            <w:r>
              <w:rPr>
                <w:rFonts w:ascii="Times New Roman" w:hAnsi="Times New Roman" w:eastAsia="宋体"/>
                <w:b w:val="0"/>
                <w:sz w:val="20"/>
              </w:rPr>
              <w:t>SLA违约率</w:t>
            </w:r>
          </w:p>
        </w:tc>
        <w:tc>
          <w:tcPr>
            <w:tcW w:type="dxa" w:w="2280"/>
            <w:vAlign w:val="center"/>
          </w:tcPr>
          <w:p>
            <w:r>
              <w:rPr>
                <w:rFonts w:ascii="Times New Roman" w:hAnsi="Times New Roman" w:eastAsia="宋体"/>
                <w:b w:val="0"/>
                <w:sz w:val="20"/>
              </w:rPr>
              <w:t>总逾期率 / 总逾期时间</w:t>
            </w:r>
          </w:p>
        </w:tc>
        <w:tc>
          <w:tcPr>
            <w:tcW w:type="dxa" w:w="2280"/>
            <w:vAlign w:val="center"/>
          </w:tcPr>
          <w:p>
            <w:r>
              <w:rPr>
                <w:rFonts w:ascii="Times New Roman" w:hAnsi="Times New Roman" w:eastAsia="宋体"/>
                <w:b w:val="0"/>
                <w:sz w:val="20"/>
              </w:rPr>
              <w:t>TRate=Σ1(T_i&gt;0)/N; TT=ΣT_i</w:t>
            </w:r>
          </w:p>
        </w:tc>
        <w:tc>
          <w:tcPr>
            <w:tcW w:type="dxa" w:w="2280"/>
            <w:vAlign w:val="center"/>
          </w:tcPr>
          <w:p>
            <w:r>
              <w:rPr>
                <w:rFonts w:ascii="Times New Roman" w:hAnsi="Times New Roman" w:eastAsia="宋体"/>
                <w:b w:val="0"/>
                <w:sz w:val="20"/>
              </w:rPr>
              <w:t>截止时间 d_i 可外生设定并说明</w:t>
            </w:r>
          </w:p>
        </w:tc>
      </w:tr>
      <w:tr>
        <w:tc>
          <w:tcPr>
            <w:tcW w:type="dxa" w:w="2280"/>
            <w:vAlign w:val="center"/>
          </w:tcPr>
          <w:p>
            <w:r>
              <w:rPr>
                <w:rFonts w:ascii="Times New Roman" w:hAnsi="Times New Roman" w:eastAsia="宋体"/>
                <w:b w:val="0"/>
                <w:sz w:val="20"/>
              </w:rPr>
              <w:t>任务-资源错配</w:t>
            </w:r>
          </w:p>
        </w:tc>
        <w:tc>
          <w:tcPr>
            <w:tcW w:type="dxa" w:w="2280"/>
            <w:vAlign w:val="center"/>
          </w:tcPr>
          <w:p>
            <w:r>
              <w:rPr>
                <w:rFonts w:ascii="Times New Roman" w:hAnsi="Times New Roman" w:eastAsia="宋体"/>
                <w:b w:val="0"/>
                <w:sz w:val="20"/>
              </w:rPr>
              <w:t>异构资源分配（偏差）</w:t>
            </w:r>
          </w:p>
        </w:tc>
        <w:tc>
          <w:tcPr>
            <w:tcW w:type="dxa" w:w="2280"/>
            <w:vAlign w:val="center"/>
          </w:tcPr>
          <w:p>
            <w:r>
              <w:rPr>
                <w:rFonts w:ascii="Times New Roman" w:hAnsi="Times New Roman" w:eastAsia="宋体"/>
                <w:b w:val="0"/>
                <w:sz w:val="20"/>
              </w:rPr>
              <w:t>HRA_dev=Σ1(r_i≠r_i*)/N</w:t>
            </w:r>
          </w:p>
        </w:tc>
        <w:tc>
          <w:tcPr>
            <w:tcW w:type="dxa" w:w="2280"/>
            <w:vAlign w:val="center"/>
          </w:tcPr>
          <w:p>
            <w:r>
              <w:rPr>
                <w:rFonts w:ascii="Times New Roman" w:hAnsi="Times New Roman" w:eastAsia="宋体"/>
                <w:b w:val="0"/>
                <w:sz w:val="20"/>
              </w:rPr>
              <w:t>r_i* 为规则推荐资源</w:t>
            </w:r>
          </w:p>
        </w:tc>
      </w:tr>
      <w:tr>
        <w:tc>
          <w:tcPr>
            <w:tcW w:type="dxa" w:w="2280"/>
            <w:vAlign w:val="center"/>
          </w:tcPr>
          <w:p>
            <w:r>
              <w:rPr>
                <w:rFonts w:ascii="Times New Roman" w:hAnsi="Times New Roman" w:eastAsia="宋体"/>
                <w:b w:val="0"/>
                <w:sz w:val="20"/>
              </w:rPr>
              <w:t>交接区合并等待</w:t>
            </w:r>
          </w:p>
        </w:tc>
        <w:tc>
          <w:tcPr>
            <w:tcW w:type="dxa" w:w="2280"/>
            <w:vAlign w:val="center"/>
          </w:tcPr>
          <w:p>
            <w:r>
              <w:rPr>
                <w:rFonts w:ascii="Times New Roman" w:hAnsi="Times New Roman" w:eastAsia="宋体"/>
                <w:b w:val="0"/>
                <w:sz w:val="20"/>
              </w:rPr>
              <w:t>订单合并同步性</w:t>
            </w:r>
          </w:p>
        </w:tc>
        <w:tc>
          <w:tcPr>
            <w:tcW w:type="dxa" w:w="2280"/>
            <w:vAlign w:val="center"/>
          </w:tcPr>
          <w:p>
            <w:r>
              <w:rPr>
                <w:rFonts w:ascii="Times New Roman" w:hAnsi="Times New Roman" w:eastAsia="宋体"/>
                <w:b w:val="0"/>
                <w:sz w:val="20"/>
              </w:rPr>
              <w:t>Δt_i=|t_arr^EPU-t_arr^MPU|; O_IO=W_consol+T_merge</w:t>
            </w:r>
          </w:p>
        </w:tc>
        <w:tc>
          <w:tcPr>
            <w:tcW w:type="dxa" w:w="2280"/>
            <w:vAlign w:val="center"/>
          </w:tcPr>
          <w:p>
            <w:r>
              <w:rPr>
                <w:rFonts w:ascii="Times New Roman" w:hAnsi="Times New Roman" w:eastAsia="宋体"/>
                <w:b w:val="0"/>
                <w:sz w:val="20"/>
              </w:rPr>
              <w:t>拆分订单核心机制变量</w:t>
            </w:r>
          </w:p>
        </w:tc>
      </w:tr>
      <w:tr>
        <w:tc>
          <w:tcPr>
            <w:tcW w:type="dxa" w:w="2280"/>
            <w:vAlign w:val="center"/>
          </w:tcPr>
          <w:p>
            <w:r>
              <w:rPr>
                <w:rFonts w:ascii="Times New Roman" w:hAnsi="Times New Roman" w:eastAsia="宋体"/>
                <w:b w:val="0"/>
                <w:sz w:val="20"/>
              </w:rPr>
              <w:t>派工与放行</w:t>
            </w:r>
          </w:p>
        </w:tc>
        <w:tc>
          <w:tcPr>
            <w:tcW w:type="dxa" w:w="2280"/>
            <w:vAlign w:val="center"/>
          </w:tcPr>
          <w:p>
            <w:r>
              <w:rPr>
                <w:rFonts w:ascii="Times New Roman" w:hAnsi="Times New Roman" w:eastAsia="宋体"/>
                <w:b w:val="0"/>
                <w:sz w:val="20"/>
              </w:rPr>
              <w:t>订单分批与排序 / 动态订单下达</w:t>
            </w:r>
          </w:p>
        </w:tc>
        <w:tc>
          <w:tcPr>
            <w:tcW w:type="dxa" w:w="2280"/>
            <w:vAlign w:val="center"/>
          </w:tcPr>
          <w:p>
            <w:r>
              <w:rPr>
                <w:rFonts w:ascii="Times New Roman" w:hAnsi="Times New Roman" w:eastAsia="宋体"/>
                <w:b w:val="0"/>
                <w:sz w:val="20"/>
              </w:rPr>
              <w:t>K(t), Score_i, Release rule</w:t>
            </w:r>
          </w:p>
        </w:tc>
        <w:tc>
          <w:tcPr>
            <w:tcW w:type="dxa" w:w="2280"/>
            <w:vAlign w:val="center"/>
          </w:tcPr>
          <w:p>
            <w:r>
              <w:rPr>
                <w:rFonts w:ascii="Times New Roman" w:hAnsi="Times New Roman" w:eastAsia="宋体"/>
                <w:b w:val="0"/>
                <w:sz w:val="20"/>
              </w:rPr>
              <w:t>模型二为主</w:t>
            </w:r>
          </w:p>
        </w:tc>
      </w:tr>
    </w:tbl>
    <w:p>
      <w:pPr>
        <w:pStyle w:val="Heading2"/>
      </w:pPr>
      <w:r>
        <w:rPr>
          <w:rFonts w:ascii="Times New Roman" w:hAnsi="Times New Roman" w:eastAsia="宋体"/>
          <w:b/>
          <w:sz w:val="28"/>
        </w:rPr>
        <w:t>1.3 科学问题提出</w:t>
      </w:r>
    </w:p>
    <w:p>
      <w:r>
        <w:rPr>
          <w:rFonts w:ascii="Times New Roman" w:hAnsi="Times New Roman" w:eastAsia="宋体"/>
          <w:b w:val="0"/>
          <w:sz w:val="24"/>
        </w:rPr>
        <w:t>在既定资源与通道容量约束下，本文关注‘指派—同步性—拥堵—尾部/逾期’的连续传导机制，并据此提出研究问题：</w:t>
      </w:r>
    </w:p>
    <w:p>
      <w:pPr>
        <w:ind w:left="340"/>
      </w:pPr>
      <w:r>
        <w:rPr>
          <w:rFonts w:ascii="Times New Roman" w:hAnsi="Times New Roman" w:eastAsia="宋体"/>
          <w:b w:val="0"/>
          <w:sz w:val="24"/>
        </w:rPr>
        <w:t>• RQ1：异构资源分配偏差是否显著增加拆分订单子任务到达异步（Δt）？</w:t>
      </w:r>
    </w:p>
    <w:p>
      <w:pPr>
        <w:ind w:left="340"/>
      </w:pPr>
      <w:r>
        <w:rPr>
          <w:rFonts w:ascii="Times New Roman" w:hAnsi="Times New Roman" w:eastAsia="宋体"/>
          <w:b w:val="0"/>
          <w:sz w:val="24"/>
        </w:rPr>
        <w:t>• RQ2：到达异步如何通过订单合并同步性占位（O_IO）推动交接区拥堵（Q_IO、A_queue）？</w:t>
      </w:r>
    </w:p>
    <w:p>
      <w:pPr>
        <w:ind w:left="340"/>
      </w:pPr>
      <w:r>
        <w:rPr>
          <w:rFonts w:ascii="Times New Roman" w:hAnsi="Times New Roman" w:eastAsia="宋体"/>
          <w:b w:val="0"/>
          <w:sz w:val="24"/>
        </w:rPr>
        <w:t>• RQ3：交接区拥堵对周转时间尾部延迟/最大完工时间与逾期指标的影响在峰值阶段是否显著放大？</w:t>
      </w:r>
    </w:p>
    <w:p>
      <w:pPr>
        <w:ind w:left="340"/>
      </w:pPr>
      <w:r>
        <w:rPr>
          <w:rFonts w:ascii="Times New Roman" w:hAnsi="Times New Roman" w:eastAsia="宋体"/>
          <w:b w:val="0"/>
          <w:sz w:val="24"/>
        </w:rPr>
        <w:t>• RQ4：模型一（静态异构资源分配与拆分决策）能否在吞吐约束下压缩Δt并改善尾部与逾期指标？</w:t>
      </w:r>
    </w:p>
    <w:p>
      <w:pPr>
        <w:ind w:left="340"/>
      </w:pPr>
      <w:r>
        <w:rPr>
          <w:rFonts w:ascii="Times New Roman" w:hAnsi="Times New Roman" w:eastAsia="宋体"/>
          <w:b w:val="0"/>
          <w:sz w:val="24"/>
        </w:rPr>
        <w:t>• RQ5：模型二（拥堵感知的动态订单下达、分批排序与路径规划）能否在波动环境下稳定系统并避免尾部恶化？</w:t>
      </w:r>
    </w:p>
    <w:p>
      <w:pPr>
        <w:pStyle w:val="Heading2"/>
      </w:pPr>
      <w:r>
        <w:rPr>
          <w:rFonts w:ascii="Times New Roman" w:hAnsi="Times New Roman" w:eastAsia="宋体"/>
          <w:b/>
          <w:sz w:val="28"/>
        </w:rPr>
        <w:t>1.4 研究内容及研究目标</w:t>
      </w:r>
    </w:p>
    <w:p>
      <w:pPr>
        <w:pStyle w:val="Heading3"/>
      </w:pPr>
      <w:r>
        <w:rPr>
          <w:rFonts w:ascii="Times New Roman" w:hAnsi="Times New Roman" w:eastAsia="宋体"/>
          <w:b/>
          <w:sz w:val="24"/>
        </w:rPr>
        <w:t>1.4.1 研究内容</w:t>
      </w:r>
    </w:p>
    <w:p>
      <w:pPr>
        <w:ind w:left="340"/>
      </w:pPr>
      <w:r>
        <w:rPr>
          <w:rFonts w:ascii="Times New Roman" w:hAnsi="Times New Roman" w:eastAsia="宋体"/>
          <w:b w:val="0"/>
          <w:sz w:val="24"/>
        </w:rPr>
        <w:t>（1）系统与数据的操作化：定义订单、资源、布局、时间模型与输出指标，构建离散事件仿真输入。</w:t>
      </w:r>
    </w:p>
    <w:p>
      <w:pPr>
        <w:ind w:left="340"/>
      </w:pPr>
      <w:r>
        <w:rPr>
          <w:rFonts w:ascii="Times New Roman" w:hAnsi="Times New Roman" w:eastAsia="宋体"/>
          <w:b w:val="0"/>
          <w:sz w:val="24"/>
        </w:rPr>
        <w:t>（2）机理研究：在基线策略下复现实验现象，验证‘异构资源分配→到达异步→合并占位→拥堵→尾部/逾期’因果链。</w:t>
      </w:r>
    </w:p>
    <w:p>
      <w:pPr>
        <w:ind w:left="340"/>
      </w:pPr>
      <w:r>
        <w:rPr>
          <w:rFonts w:ascii="Times New Roman" w:hAnsi="Times New Roman" w:eastAsia="宋体"/>
          <w:b w:val="0"/>
          <w:sz w:val="24"/>
        </w:rPr>
        <w:t>（3）模型一：建立静态规划下的异构资源分配与拆分决策模型，以压缩到达异步并降低同步性占位。</w:t>
      </w:r>
    </w:p>
    <w:p>
      <w:pPr>
        <w:ind w:left="340"/>
      </w:pPr>
      <w:r>
        <w:rPr>
          <w:rFonts w:ascii="Times New Roman" w:hAnsi="Times New Roman" w:eastAsia="宋体"/>
          <w:b w:val="0"/>
          <w:sz w:val="24"/>
        </w:rPr>
        <w:t>（4）模型二：构建拥堵感知的动态订单下达与订单分批排序控制，并在执行层评估批次对拥堵的影响。</w:t>
      </w:r>
    </w:p>
    <w:p>
      <w:pPr>
        <w:ind w:left="340"/>
      </w:pPr>
      <w:r>
        <w:rPr>
          <w:rFonts w:ascii="Times New Roman" w:hAnsi="Times New Roman" w:eastAsia="宋体"/>
          <w:b w:val="0"/>
          <w:sz w:val="24"/>
        </w:rPr>
        <w:t>（5）仿真实验与稳健性：采用对照、消融与敏感性分析评估两类模型在峰值扰动场景下的效果与边界。</w:t>
      </w:r>
    </w:p>
    <w:p>
      <w:pPr>
        <w:pStyle w:val="Heading3"/>
      </w:pPr>
      <w:r>
        <w:rPr>
          <w:rFonts w:ascii="Times New Roman" w:hAnsi="Times New Roman" w:eastAsia="宋体"/>
          <w:b/>
          <w:sz w:val="24"/>
        </w:rPr>
        <w:t>1.4.2 研究目标</w:t>
      </w:r>
    </w:p>
    <w:p>
      <w:r>
        <w:rPr>
          <w:rFonts w:ascii="Times New Roman" w:hAnsi="Times New Roman" w:eastAsia="宋体"/>
          <w:b w:val="0"/>
          <w:sz w:val="24"/>
        </w:rPr>
        <w:t>本文以可靠性指标为核心输出，并显式加入产能约束。总体目标可表述为：在滚动吞吐不显著劣化的前提下，降低高价值订单的尾部延迟与逾期风险。</w:t>
      </w:r>
    </w:p>
    <w:tbl>
      <w:tblPr>
        <w:tblW w:type="auto" w:w="0"/>
        <w:jc w:val="center"/>
        <w:tblLook w:firstColumn="1" w:firstRow="1" w:lastColumn="0" w:lastRow="0" w:noHBand="0" w:noVBand="1" w:val="04A0"/>
      </w:tblPr>
      <w:tblGrid>
        <w:gridCol w:w="3041"/>
        <w:gridCol w:w="3041"/>
        <w:gridCol w:w="3041"/>
      </w:tblGrid>
      <w:tr>
        <w:tc>
          <w:tcPr>
            <w:tcW w:type="dxa" w:w="3041"/>
            <w:vAlign w:val="center"/>
          </w:tcPr>
          <w:p>
            <w:r>
              <w:rPr>
                <w:rFonts w:ascii="Times New Roman" w:hAnsi="Times New Roman" w:eastAsia="宋体"/>
                <w:b/>
                <w:sz w:val="20"/>
              </w:rPr>
              <w:t>目标类型</w:t>
            </w:r>
          </w:p>
        </w:tc>
        <w:tc>
          <w:tcPr>
            <w:tcW w:type="dxa" w:w="3041"/>
            <w:vAlign w:val="center"/>
          </w:tcPr>
          <w:p>
            <w:r>
              <w:rPr>
                <w:rFonts w:ascii="Times New Roman" w:hAnsi="Times New Roman" w:eastAsia="宋体"/>
                <w:b/>
                <w:sz w:val="20"/>
              </w:rPr>
              <w:t>指标/形式</w:t>
            </w:r>
          </w:p>
        </w:tc>
        <w:tc>
          <w:tcPr>
            <w:tcW w:type="dxa" w:w="3041"/>
            <w:vAlign w:val="center"/>
          </w:tcPr>
          <w:p>
            <w:r>
              <w:rPr>
                <w:rFonts w:ascii="Times New Roman" w:hAnsi="Times New Roman" w:eastAsia="宋体"/>
                <w:b/>
                <w:sz w:val="20"/>
              </w:rPr>
              <w:t>说明</w:t>
            </w:r>
          </w:p>
        </w:tc>
      </w:tr>
      <w:tr>
        <w:tc>
          <w:tcPr>
            <w:tcW w:type="dxa" w:w="3041"/>
            <w:vAlign w:val="center"/>
          </w:tcPr>
          <w:p>
            <w:r>
              <w:rPr>
                <w:rFonts w:ascii="Times New Roman" w:hAnsi="Times New Roman" w:eastAsia="宋体"/>
                <w:b w:val="0"/>
                <w:sz w:val="20"/>
              </w:rPr>
              <w:t>主目标</w:t>
            </w:r>
          </w:p>
        </w:tc>
        <w:tc>
          <w:tcPr>
            <w:tcW w:type="dxa" w:w="3041"/>
            <w:vAlign w:val="center"/>
          </w:tcPr>
          <w:p>
            <w:r>
              <w:rPr>
                <w:rFonts w:ascii="Times New Roman" w:hAnsi="Times New Roman" w:eastAsia="宋体"/>
                <w:b w:val="0"/>
                <w:sz w:val="20"/>
              </w:rPr>
              <w:t>min  TL_95(D)  或  min  C_max</w:t>
            </w:r>
          </w:p>
        </w:tc>
        <w:tc>
          <w:tcPr>
            <w:tcW w:type="dxa" w:w="3041"/>
            <w:vAlign w:val="center"/>
          </w:tcPr>
          <w:p>
            <w:r>
              <w:rPr>
                <w:rFonts w:ascii="Times New Roman" w:hAnsi="Times New Roman" w:eastAsia="宋体"/>
                <w:b w:val="0"/>
                <w:sz w:val="20"/>
              </w:rPr>
              <w:t>以尾部延迟或最大完工时间刻画尾部风险</w:t>
            </w:r>
          </w:p>
        </w:tc>
      </w:tr>
      <w:tr>
        <w:tc>
          <w:tcPr>
            <w:tcW w:type="dxa" w:w="3041"/>
            <w:vAlign w:val="center"/>
          </w:tcPr>
          <w:p>
            <w:r>
              <w:rPr>
                <w:rFonts w:ascii="Times New Roman" w:hAnsi="Times New Roman" w:eastAsia="宋体"/>
                <w:b w:val="0"/>
                <w:sz w:val="20"/>
              </w:rPr>
              <w:t>次目标</w:t>
            </w:r>
          </w:p>
        </w:tc>
        <w:tc>
          <w:tcPr>
            <w:tcW w:type="dxa" w:w="3041"/>
            <w:vAlign w:val="center"/>
          </w:tcPr>
          <w:p>
            <w:r>
              <w:rPr>
                <w:rFonts w:ascii="Times New Roman" w:hAnsi="Times New Roman" w:eastAsia="宋体"/>
                <w:b w:val="0"/>
                <w:sz w:val="20"/>
              </w:rPr>
              <w:t>min  TRate  或  min  TT</w:t>
            </w:r>
          </w:p>
        </w:tc>
        <w:tc>
          <w:tcPr>
            <w:tcW w:type="dxa" w:w="3041"/>
            <w:vAlign w:val="center"/>
          </w:tcPr>
          <w:p>
            <w:r>
              <w:rPr>
                <w:rFonts w:ascii="Times New Roman" w:hAnsi="Times New Roman" w:eastAsia="宋体"/>
                <w:b w:val="0"/>
                <w:sz w:val="20"/>
              </w:rPr>
              <w:t>以总逾期率/总逾期时间刻画逾期风险</w:t>
            </w:r>
          </w:p>
        </w:tc>
      </w:tr>
      <w:tr>
        <w:tc>
          <w:tcPr>
            <w:tcW w:type="dxa" w:w="3041"/>
            <w:vAlign w:val="center"/>
          </w:tcPr>
          <w:p>
            <w:r>
              <w:rPr>
                <w:rFonts w:ascii="Times New Roman" w:hAnsi="Times New Roman" w:eastAsia="宋体"/>
                <w:b w:val="0"/>
                <w:sz w:val="20"/>
              </w:rPr>
              <w:t>硬约束</w:t>
            </w:r>
          </w:p>
        </w:tc>
        <w:tc>
          <w:tcPr>
            <w:tcW w:type="dxa" w:w="3041"/>
            <w:vAlign w:val="center"/>
          </w:tcPr>
          <w:p>
            <w:r>
              <w:rPr>
                <w:rFonts w:ascii="Times New Roman" w:hAnsi="Times New Roman" w:eastAsia="宋体"/>
                <w:b w:val="0"/>
                <w:sz w:val="20"/>
              </w:rPr>
              <w:t>TR ≥ (1-θ)·TR0  或  MS ≤ (1+θ)·MS0</w:t>
            </w:r>
          </w:p>
        </w:tc>
        <w:tc>
          <w:tcPr>
            <w:tcW w:type="dxa" w:w="3041"/>
            <w:vAlign w:val="center"/>
          </w:tcPr>
          <w:p>
            <w:r>
              <w:rPr>
                <w:rFonts w:ascii="Times New Roman" w:hAnsi="Times New Roman" w:eastAsia="宋体"/>
                <w:b w:val="0"/>
                <w:sz w:val="20"/>
              </w:rPr>
              <w:t>滚动吞吐率或完工时间不显著劣化（θ为容忍阈值）</w:t>
            </w:r>
          </w:p>
        </w:tc>
      </w:tr>
    </w:tbl>
    <w:p>
      <w:pPr>
        <w:pStyle w:val="Heading2"/>
      </w:pPr>
      <w:r>
        <w:rPr>
          <w:rFonts w:ascii="Times New Roman" w:hAnsi="Times New Roman" w:eastAsia="宋体"/>
          <w:b/>
          <w:sz w:val="28"/>
        </w:rPr>
        <w:t>1.5 研究方法及技术路线图</w:t>
      </w:r>
    </w:p>
    <w:p>
      <w:pPr>
        <w:pStyle w:val="Heading3"/>
      </w:pPr>
      <w:r>
        <w:rPr>
          <w:rFonts w:ascii="Times New Roman" w:hAnsi="Times New Roman" w:eastAsia="宋体"/>
          <w:b/>
          <w:sz w:val="24"/>
        </w:rPr>
        <w:t>1.5.1 研究方法</w:t>
      </w:r>
    </w:p>
    <w:p>
      <w:r>
        <w:rPr>
          <w:rFonts w:ascii="Times New Roman" w:hAnsi="Times New Roman" w:eastAsia="宋体"/>
          <w:b w:val="0"/>
          <w:sz w:val="24"/>
        </w:rPr>
        <w:t>本文采用离散事件仿真、对照实验与消融实验、敏感性分析与稳健性检验等方法。</w:t>
      </w:r>
    </w:p>
    <w:p>
      <w:pPr>
        <w:pStyle w:val="Heading3"/>
      </w:pPr>
      <w:r>
        <w:rPr>
          <w:rFonts w:ascii="Times New Roman" w:hAnsi="Times New Roman" w:eastAsia="宋体"/>
          <w:b/>
          <w:sz w:val="24"/>
        </w:rPr>
        <w:t>1.5.2 全文逻辑图（技术路线）</w:t>
      </w:r>
    </w:p>
    <w:p>
      <w:pPr>
        <w:jc w:val="center"/>
      </w:pPr>
      <w:r>
        <w:drawing>
          <wp:inline xmlns:a="http://schemas.openxmlformats.org/drawingml/2006/main" xmlns:pic="http://schemas.openxmlformats.org/drawingml/2006/picture">
            <wp:extent cx="6400800" cy="3025833"/>
            <wp:docPr id="1" name="Picture 1"/>
            <wp:cNvGraphicFramePr>
              <a:graphicFrameLocks noChangeAspect="1"/>
            </wp:cNvGraphicFramePr>
            <a:graphic>
              <a:graphicData uri="http://schemas.openxmlformats.org/drawingml/2006/picture">
                <pic:pic>
                  <pic:nvPicPr>
                    <pic:cNvPr id="0" name="全文逻辑图_v1.png"/>
                    <pic:cNvPicPr/>
                  </pic:nvPicPr>
                  <pic:blipFill>
                    <a:blip r:embed="rId9"/>
                    <a:stretch>
                      <a:fillRect/>
                    </a:stretch>
                  </pic:blipFill>
                  <pic:spPr>
                    <a:xfrm>
                      <a:off x="0" y="0"/>
                      <a:ext cx="6400800" cy="3025833"/>
                    </a:xfrm>
                    <a:prstGeom prst="rect"/>
                  </pic:spPr>
                </pic:pic>
              </a:graphicData>
            </a:graphic>
          </wp:inline>
        </w:drawing>
      </w:r>
    </w:p>
    <w:p>
      <w:pPr>
        <w:jc w:val="center"/>
      </w:pPr>
      <w:r>
        <w:rPr>
          <w:rFonts w:ascii="Times New Roman" w:hAnsi="Times New Roman" w:eastAsia="宋体"/>
          <w:b w:val="0"/>
          <w:sz w:val="20"/>
        </w:rPr>
        <w:t>图1-1 全文逻辑图：因果主线与技术路线</w:t>
      </w:r>
    </w:p>
    <w:p>
      <w:pPr>
        <w:pStyle w:val="Heading2"/>
      </w:pPr>
      <w:r>
        <w:rPr>
          <w:rFonts w:ascii="Times New Roman" w:hAnsi="Times New Roman" w:eastAsia="宋体"/>
          <w:b/>
          <w:sz w:val="28"/>
        </w:rPr>
        <w:t>1.6 本章小结</w:t>
      </w:r>
    </w:p>
    <w:p>
      <w:r>
        <w:rPr>
          <w:rFonts w:ascii="Times New Roman" w:hAnsi="Times New Roman" w:eastAsia="宋体"/>
          <w:b w:val="0"/>
          <w:sz w:val="24"/>
        </w:rPr>
        <w:t>本章给出研究背景、研究对象与边界、术语口径锁定，并提出研究问题、研究内容与目标以及总体技术路线。</w:t>
      </w:r>
    </w:p>
    <w:p>
      <w:r>
        <w:br w:type="page"/>
      </w:r>
    </w:p>
    <w:p>
      <w:pPr>
        <w:pStyle w:val="Heading1"/>
      </w:pPr>
      <w:r>
        <w:rPr>
          <w:rFonts w:ascii="Times New Roman" w:hAnsi="Times New Roman" w:eastAsia="宋体"/>
          <w:b/>
          <w:sz w:val="32"/>
        </w:rPr>
        <w:t>第二章 相关理论基础及国内外研究现状</w:t>
      </w:r>
    </w:p>
    <w:p>
      <w:pPr>
        <w:pStyle w:val="Heading2"/>
      </w:pPr>
      <w:r>
        <w:rPr>
          <w:rFonts w:ascii="Times New Roman" w:hAnsi="Times New Roman" w:eastAsia="宋体"/>
          <w:b/>
          <w:sz w:val="28"/>
        </w:rPr>
        <w:t>2.1 理论基础</w:t>
      </w:r>
    </w:p>
    <w:p>
      <w:pPr>
        <w:pStyle w:val="Heading3"/>
      </w:pPr>
      <w:r>
        <w:rPr>
          <w:rFonts w:ascii="Times New Roman" w:hAnsi="Times New Roman" w:eastAsia="宋体"/>
          <w:b/>
          <w:sz w:val="24"/>
        </w:rPr>
        <w:t>2.1.1 仓内拣选与交接作业</w:t>
      </w:r>
    </w:p>
    <w:p>
      <w:r>
        <w:rPr>
          <w:rFonts w:ascii="Times New Roman" w:hAnsi="Times New Roman" w:eastAsia="宋体"/>
          <w:b w:val="0"/>
          <w:sz w:val="24"/>
        </w:rPr>
        <w:t>仓内拣选过程可抽象为资源受限的作业执行与路径行走问题，交接区承担末端汇聚、复核与合并处理。当订单需要拆分为多个子任务执行时，汇聚节点会出现同步等待与占位现象，其行为可用排队论中的等待与服务过程描述。</w:t>
      </w:r>
    </w:p>
    <w:p>
      <w:pPr>
        <w:pStyle w:val="Heading3"/>
      </w:pPr>
      <w:r>
        <w:rPr>
          <w:rFonts w:ascii="Times New Roman" w:hAnsi="Times New Roman" w:eastAsia="宋体"/>
          <w:b/>
          <w:sz w:val="24"/>
        </w:rPr>
        <w:t>2.1.2 尾部风险与逾期指标</w:t>
      </w:r>
    </w:p>
    <w:p>
      <w:r>
        <w:rPr>
          <w:rFonts w:ascii="Times New Roman" w:hAnsi="Times New Roman" w:eastAsia="宋体"/>
          <w:b w:val="0"/>
          <w:sz w:val="24"/>
        </w:rPr>
        <w:t>履约可靠性关注分布尾部与逾期风险。尾部可用周转时间分位数或最大完工时间描述；逾期可用总逾期率或总逾期时间描述。在峰值场景中，拥堵与阻塞会放大旅行时间方差，使尾部指标对局部瓶颈高度敏感。</w:t>
      </w:r>
    </w:p>
    <w:p>
      <w:pPr>
        <w:pStyle w:val="Heading3"/>
      </w:pPr>
      <w:r>
        <w:rPr>
          <w:rFonts w:ascii="Times New Roman" w:hAnsi="Times New Roman" w:eastAsia="宋体"/>
          <w:b/>
          <w:sz w:val="24"/>
        </w:rPr>
        <w:t>2.1.3 拥堵与阻塞建模基础</w:t>
      </w:r>
    </w:p>
    <w:p>
      <w:r>
        <w:rPr>
          <w:rFonts w:ascii="Times New Roman" w:hAnsi="Times New Roman" w:eastAsia="宋体"/>
          <w:b w:val="0"/>
          <w:sz w:val="24"/>
        </w:rPr>
        <w:t>窄巷道与中央走廊等通行资源可建模为有限容量资源池，容量耗尽时产生阻塞等待。交接区可视为服务台与暂存槽位的组合系统；在简化口径下，可将‘暂存/合并/交付’合并为单节点并通过排队表现占位效应。</w:t>
      </w:r>
    </w:p>
    <w:p>
      <w:pPr>
        <w:pStyle w:val="Heading2"/>
      </w:pPr>
      <w:r>
        <w:rPr>
          <w:rFonts w:ascii="Times New Roman" w:hAnsi="Times New Roman" w:eastAsia="宋体"/>
          <w:b/>
          <w:sz w:val="28"/>
        </w:rPr>
        <w:t>2.2 国内外研究现状</w:t>
      </w:r>
    </w:p>
    <w:p>
      <w:pPr>
        <w:pStyle w:val="Heading3"/>
      </w:pPr>
      <w:r>
        <w:rPr>
          <w:rFonts w:ascii="Times New Roman" w:hAnsi="Times New Roman" w:eastAsia="宋体"/>
          <w:b/>
          <w:sz w:val="24"/>
        </w:rPr>
        <w:t>2.2.1 异构资源分配与任务指派</w:t>
      </w:r>
    </w:p>
    <w:p>
      <w:r>
        <w:rPr>
          <w:rFonts w:ascii="Times New Roman" w:hAnsi="Times New Roman" w:eastAsia="宋体"/>
          <w:b w:val="0"/>
          <w:sz w:val="24"/>
        </w:rPr>
        <w:t>相关研究关注多能力资源的可行性约束与效率目标之间的平衡，典型问题包括多技能工人指派、异构设备调度与负载均衡。对本文而言，关键在于将能力差异映射为作业时间结构差异，并进一步影响汇聚同步性与拥堵传播。</w:t>
      </w:r>
    </w:p>
    <w:p>
      <w:pPr>
        <w:pStyle w:val="Heading3"/>
      </w:pPr>
      <w:r>
        <w:rPr>
          <w:rFonts w:ascii="Times New Roman" w:hAnsi="Times New Roman" w:eastAsia="宋体"/>
          <w:b/>
          <w:sz w:val="24"/>
        </w:rPr>
        <w:t>2.2.2 订单拆分、合并同步性与汇聚瓶颈</w:t>
      </w:r>
    </w:p>
    <w:p>
      <w:r>
        <w:rPr>
          <w:rFonts w:ascii="Times New Roman" w:hAnsi="Times New Roman" w:eastAsia="宋体"/>
          <w:b w:val="0"/>
          <w:sz w:val="24"/>
        </w:rPr>
        <w:t>在汇聚与合并场景下，拆分订单子任务到达异步会产生同步等待，先到部分占用汇聚资源并阻塞后续任务，形成拥堵与连锁延误。该现象与装配式排队、分拣墙（put wall）系统中的并行格口与服务台管理问题存在对应关系。</w:t>
      </w:r>
    </w:p>
    <w:p>
      <w:pPr>
        <w:pStyle w:val="Heading3"/>
      </w:pPr>
      <w:r>
        <w:rPr>
          <w:rFonts w:ascii="Times New Roman" w:hAnsi="Times New Roman" w:eastAsia="宋体"/>
          <w:b/>
          <w:sz w:val="24"/>
        </w:rPr>
        <w:t>2.2.3 动态订单下达、订单分批与排序及路径规划</w:t>
      </w:r>
    </w:p>
    <w:p>
      <w:r>
        <w:rPr>
          <w:rFonts w:ascii="Times New Roman" w:hAnsi="Times New Roman" w:eastAsia="宋体"/>
          <w:b w:val="0"/>
          <w:sz w:val="24"/>
        </w:rPr>
        <w:t>动态订单下达研究强调滚动时域控制与状态反馈，常见控制动作包括放行节奏、批次规模与优先级排序。路径规划与分批相互耦合：批次规模影响路径长度与完成聚集，从而改变到达交接区的节奏并影响拥堵。</w:t>
      </w:r>
    </w:p>
    <w:p>
      <w:pPr>
        <w:pStyle w:val="Heading3"/>
      </w:pPr>
      <w:r>
        <w:rPr>
          <w:rFonts w:ascii="Times New Roman" w:hAnsi="Times New Roman" w:eastAsia="宋体"/>
          <w:b/>
          <w:sz w:val="24"/>
        </w:rPr>
        <w:t>2.2.4 研究评述</w:t>
      </w:r>
    </w:p>
    <w:p>
      <w:r>
        <w:rPr>
          <w:rFonts w:ascii="Times New Roman" w:hAnsi="Times New Roman" w:eastAsia="宋体"/>
          <w:b w:val="0"/>
          <w:sz w:val="24"/>
        </w:rPr>
        <w:t>现有研究常将指派、分批、路径与汇聚节点控制拆分为独立子问题。在全渠道高波动场景下，拆分订单的同步性占位与拥堵传播使这些子问题呈现强耦合。本文的组织方式是：先以可检验的机理链条固定耦合关系，再分别提出静态指派模型与动态放行控制模型，并在统一仿真平台中验证。</w:t>
      </w:r>
    </w:p>
    <w:p>
      <w:pPr>
        <w:pStyle w:val="Heading2"/>
      </w:pPr>
      <w:r>
        <w:rPr>
          <w:rFonts w:ascii="Times New Roman" w:hAnsi="Times New Roman" w:eastAsia="宋体"/>
          <w:b/>
          <w:sz w:val="28"/>
        </w:rPr>
        <w:t>2.3 本章小结</w:t>
      </w:r>
    </w:p>
    <w:p>
      <w:r>
        <w:rPr>
          <w:rFonts w:ascii="Times New Roman" w:hAnsi="Times New Roman" w:eastAsia="宋体"/>
          <w:b w:val="0"/>
          <w:sz w:val="24"/>
        </w:rPr>
        <w:t>本章回顾理论基础与研究现状，明确本文从‘异构资源分配—合并同步性—拥堵—尾部/逾期’耦合角度展开研究。</w:t>
      </w:r>
    </w:p>
    <w:p>
      <w:r>
        <w:br w:type="page"/>
      </w:r>
    </w:p>
    <w:p>
      <w:pPr>
        <w:pStyle w:val="Heading1"/>
      </w:pPr>
      <w:r>
        <w:rPr>
          <w:rFonts w:ascii="Times New Roman" w:hAnsi="Times New Roman" w:eastAsia="宋体"/>
          <w:b/>
          <w:sz w:val="32"/>
        </w:rPr>
        <w:t>第三章 系统描述、现状与机理研究</w:t>
      </w:r>
    </w:p>
    <w:p>
      <w:pPr>
        <w:pStyle w:val="Heading2"/>
      </w:pPr>
      <w:r>
        <w:rPr>
          <w:rFonts w:ascii="Times New Roman" w:hAnsi="Times New Roman" w:eastAsia="宋体"/>
          <w:b/>
          <w:sz w:val="28"/>
        </w:rPr>
        <w:t>3.1 系统结构与作业流程</w:t>
      </w:r>
    </w:p>
    <w:p>
      <w:r>
        <w:rPr>
          <w:rFonts w:ascii="Times New Roman" w:hAnsi="Times New Roman" w:eastAsia="宋体"/>
          <w:b w:val="0"/>
          <w:sz w:val="24"/>
        </w:rPr>
        <w:t>仓内作业由订单到达、资源指派与拣选执行、子任务到达交接区、交接区合并服务四部分构成。拣选资源分为两类：电动拣选车（EPU）与人力拣选车（MPU）。EPU具备高位作业能力与更高载荷，但体积大、在窄巷道机动性较差；MPU机动性高，适合密集拆零拣选，但不具备高位作业能力。交接区（I/O）与合并区在仿真中合并为同一节点，以直接体现同步等待导致的占位与排队。</w:t>
      </w:r>
    </w:p>
    <w:p>
      <w:pPr>
        <w:pStyle w:val="Heading2"/>
      </w:pPr>
      <w:r>
        <w:rPr>
          <w:rFonts w:ascii="Times New Roman" w:hAnsi="Times New Roman" w:eastAsia="宋体"/>
          <w:b/>
          <w:sz w:val="28"/>
        </w:rPr>
        <w:t>3.2 数据实体、字段与仿真输入输出</w:t>
      </w:r>
    </w:p>
    <w:p>
      <w:r>
        <w:rPr>
          <w:rFonts w:ascii="Times New Roman" w:hAnsi="Times New Roman" w:eastAsia="宋体"/>
          <w:b w:val="0"/>
          <w:sz w:val="24"/>
        </w:rPr>
        <w:t>本文仅保留仿真必需字段：订单行项至少包含 order_id、到达时刻 T_create、sku_id、数量 qty、库位编号 loc_id；库位表至少包含 loc_id、坐标 x/y（单位m）、层级 z 以及巷道编号 aisle_id（或由坐标映射得到）。交接区坐标 (x_IO, y_IO) 按中央走廊端点规则确定。</w:t>
      </w:r>
    </w:p>
    <w:p>
      <w:pPr>
        <w:pStyle w:val="Heading3"/>
      </w:pPr>
      <w:r>
        <w:rPr>
          <w:rFonts w:ascii="Times New Roman" w:hAnsi="Times New Roman" w:eastAsia="宋体"/>
          <w:b/>
          <w:sz w:val="24"/>
        </w:rPr>
        <w:t>3.2.1 数据字段与仿真输入输出对照表</w:t>
      </w:r>
    </w:p>
    <w:tbl>
      <w:tblPr>
        <w:tblW w:type="auto" w:w="0"/>
        <w:jc w:val="center"/>
        <w:tblLook w:firstColumn="1" w:firstRow="1" w:lastColumn="0" w:lastRow="0" w:noHBand="0" w:noVBand="1" w:val="04A0"/>
      </w:tblPr>
      <w:tblGrid>
        <w:gridCol w:w="2280"/>
        <w:gridCol w:w="2280"/>
        <w:gridCol w:w="2280"/>
        <w:gridCol w:w="2280"/>
      </w:tblGrid>
      <w:tr>
        <w:tc>
          <w:tcPr>
            <w:tcW w:type="dxa" w:w="2280"/>
            <w:vAlign w:val="center"/>
          </w:tcPr>
          <w:p>
            <w:r>
              <w:rPr>
                <w:rFonts w:ascii="Times New Roman" w:hAnsi="Times New Roman" w:eastAsia="宋体"/>
                <w:b/>
                <w:sz w:val="20"/>
              </w:rPr>
              <w:t>数据层</w:t>
            </w:r>
          </w:p>
        </w:tc>
        <w:tc>
          <w:tcPr>
            <w:tcW w:type="dxa" w:w="2280"/>
            <w:vAlign w:val="center"/>
          </w:tcPr>
          <w:p>
            <w:r>
              <w:rPr>
                <w:rFonts w:ascii="Times New Roman" w:hAnsi="Times New Roman" w:eastAsia="宋体"/>
                <w:b/>
                <w:sz w:val="20"/>
              </w:rPr>
              <w:t>字段（示例）</w:t>
            </w:r>
          </w:p>
        </w:tc>
        <w:tc>
          <w:tcPr>
            <w:tcW w:type="dxa" w:w="2280"/>
            <w:vAlign w:val="center"/>
          </w:tcPr>
          <w:p>
            <w:r>
              <w:rPr>
                <w:rFonts w:ascii="Times New Roman" w:hAnsi="Times New Roman" w:eastAsia="宋体"/>
                <w:b/>
                <w:sz w:val="20"/>
              </w:rPr>
              <w:t>含义</w:t>
            </w:r>
          </w:p>
        </w:tc>
        <w:tc>
          <w:tcPr>
            <w:tcW w:type="dxa" w:w="2280"/>
            <w:vAlign w:val="center"/>
          </w:tcPr>
          <w:p>
            <w:r>
              <w:rPr>
                <w:rFonts w:ascii="Times New Roman" w:hAnsi="Times New Roman" w:eastAsia="宋体"/>
                <w:b/>
                <w:sz w:val="20"/>
              </w:rPr>
              <w:t>用途（章节）</w:t>
            </w:r>
          </w:p>
        </w:tc>
      </w:tr>
      <w:tr>
        <w:tc>
          <w:tcPr>
            <w:tcW w:type="dxa" w:w="2280"/>
            <w:vAlign w:val="center"/>
          </w:tcPr>
          <w:p>
            <w:r>
              <w:rPr>
                <w:rFonts w:ascii="Times New Roman" w:hAnsi="Times New Roman" w:eastAsia="宋体"/>
                <w:b w:val="0"/>
                <w:sz w:val="20"/>
              </w:rPr>
              <w:t>订单/行项</w:t>
            </w:r>
          </w:p>
        </w:tc>
        <w:tc>
          <w:tcPr>
            <w:tcW w:type="dxa" w:w="2280"/>
            <w:vAlign w:val="center"/>
          </w:tcPr>
          <w:p>
            <w:r>
              <w:rPr>
                <w:rFonts w:ascii="Times New Roman" w:hAnsi="Times New Roman" w:eastAsia="宋体"/>
                <w:b w:val="0"/>
                <w:sz w:val="20"/>
              </w:rPr>
              <w:t>order_id, T_create, sku_id, qty, loc_id</w:t>
            </w:r>
          </w:p>
        </w:tc>
        <w:tc>
          <w:tcPr>
            <w:tcW w:type="dxa" w:w="2280"/>
            <w:vAlign w:val="center"/>
          </w:tcPr>
          <w:p>
            <w:r>
              <w:rPr>
                <w:rFonts w:ascii="Times New Roman" w:hAnsi="Times New Roman" w:eastAsia="宋体"/>
                <w:b w:val="0"/>
                <w:sz w:val="20"/>
              </w:rPr>
              <w:t>订单标识、到达、SKU与数量、库位</w:t>
            </w:r>
          </w:p>
        </w:tc>
        <w:tc>
          <w:tcPr>
            <w:tcW w:type="dxa" w:w="2280"/>
            <w:vAlign w:val="center"/>
          </w:tcPr>
          <w:p>
            <w:r>
              <w:rPr>
                <w:rFonts w:ascii="Times New Roman" w:hAnsi="Times New Roman" w:eastAsia="宋体"/>
                <w:b w:val="0"/>
                <w:sz w:val="20"/>
              </w:rPr>
              <w:t>订单画像、指派、放行（第3-5章）</w:t>
            </w:r>
          </w:p>
        </w:tc>
      </w:tr>
      <w:tr>
        <w:tc>
          <w:tcPr>
            <w:tcW w:type="dxa" w:w="2280"/>
            <w:vAlign w:val="center"/>
          </w:tcPr>
          <w:p>
            <w:r>
              <w:rPr>
                <w:rFonts w:ascii="Times New Roman" w:hAnsi="Times New Roman" w:eastAsia="宋体"/>
                <w:b w:val="0"/>
                <w:sz w:val="20"/>
              </w:rPr>
              <w:t>库位</w:t>
            </w:r>
          </w:p>
        </w:tc>
        <w:tc>
          <w:tcPr>
            <w:tcW w:type="dxa" w:w="2280"/>
            <w:vAlign w:val="center"/>
          </w:tcPr>
          <w:p>
            <w:r>
              <w:rPr>
                <w:rFonts w:ascii="Times New Roman" w:hAnsi="Times New Roman" w:eastAsia="宋体"/>
                <w:b w:val="0"/>
                <w:sz w:val="20"/>
              </w:rPr>
              <w:t>loc_id, x, y, z, aisle_id</w:t>
            </w:r>
          </w:p>
        </w:tc>
        <w:tc>
          <w:tcPr>
            <w:tcW w:type="dxa" w:w="2280"/>
            <w:vAlign w:val="center"/>
          </w:tcPr>
          <w:p>
            <w:r>
              <w:rPr>
                <w:rFonts w:ascii="Times New Roman" w:hAnsi="Times New Roman" w:eastAsia="宋体"/>
                <w:b w:val="0"/>
                <w:sz w:val="20"/>
              </w:rPr>
              <w:t>库位坐标与层级</w:t>
            </w:r>
          </w:p>
        </w:tc>
        <w:tc>
          <w:tcPr>
            <w:tcW w:type="dxa" w:w="2280"/>
            <w:vAlign w:val="center"/>
          </w:tcPr>
          <w:p>
            <w:r>
              <w:rPr>
                <w:rFonts w:ascii="Times New Roman" w:hAnsi="Times New Roman" w:eastAsia="宋体"/>
                <w:b w:val="0"/>
                <w:sz w:val="20"/>
              </w:rPr>
              <w:t>路径长度与高位约束（第3-5章）</w:t>
            </w:r>
          </w:p>
        </w:tc>
      </w:tr>
      <w:tr>
        <w:tc>
          <w:tcPr>
            <w:tcW w:type="dxa" w:w="2280"/>
            <w:vAlign w:val="center"/>
          </w:tcPr>
          <w:p>
            <w:r>
              <w:rPr>
                <w:rFonts w:ascii="Times New Roman" w:hAnsi="Times New Roman" w:eastAsia="宋体"/>
                <w:b w:val="0"/>
                <w:sz w:val="20"/>
              </w:rPr>
              <w:t>容量参数</w:t>
            </w:r>
          </w:p>
        </w:tc>
        <w:tc>
          <w:tcPr>
            <w:tcW w:type="dxa" w:w="2280"/>
            <w:vAlign w:val="center"/>
          </w:tcPr>
          <w:p>
            <w:r>
              <w:rPr>
                <w:rFonts w:ascii="Times New Roman" w:hAnsi="Times New Roman" w:eastAsia="宋体"/>
                <w:b w:val="0"/>
                <w:sz w:val="20"/>
              </w:rPr>
              <w:t>cap_CC, cap_Aisle, cap_IO</w:t>
            </w:r>
          </w:p>
        </w:tc>
        <w:tc>
          <w:tcPr>
            <w:tcW w:type="dxa" w:w="2280"/>
            <w:vAlign w:val="center"/>
          </w:tcPr>
          <w:p>
            <w:r>
              <w:rPr>
                <w:rFonts w:ascii="Times New Roman" w:hAnsi="Times New Roman" w:eastAsia="宋体"/>
                <w:b w:val="0"/>
                <w:sz w:val="20"/>
              </w:rPr>
              <w:t>主通道/巷道/交接区容量</w:t>
            </w:r>
          </w:p>
        </w:tc>
        <w:tc>
          <w:tcPr>
            <w:tcW w:type="dxa" w:w="2280"/>
            <w:vAlign w:val="center"/>
          </w:tcPr>
          <w:p>
            <w:r>
              <w:rPr>
                <w:rFonts w:ascii="Times New Roman" w:hAnsi="Times New Roman" w:eastAsia="宋体"/>
                <w:b w:val="0"/>
                <w:sz w:val="20"/>
              </w:rPr>
              <w:t>拥堵与阻塞（第3章）</w:t>
            </w:r>
          </w:p>
        </w:tc>
      </w:tr>
      <w:tr>
        <w:tc>
          <w:tcPr>
            <w:tcW w:type="dxa" w:w="2280"/>
            <w:vAlign w:val="center"/>
          </w:tcPr>
          <w:p>
            <w:r>
              <w:rPr>
                <w:rFonts w:ascii="Times New Roman" w:hAnsi="Times New Roman" w:eastAsia="宋体"/>
                <w:b w:val="0"/>
                <w:sz w:val="20"/>
              </w:rPr>
              <w:t>事件日志</w:t>
            </w:r>
          </w:p>
        </w:tc>
        <w:tc>
          <w:tcPr>
            <w:tcW w:type="dxa" w:w="2280"/>
            <w:vAlign w:val="center"/>
          </w:tcPr>
          <w:p>
            <w:r>
              <w:rPr>
                <w:rFonts w:ascii="Times New Roman" w:hAnsi="Times New Roman" w:eastAsia="宋体"/>
                <w:b w:val="0"/>
                <w:sz w:val="20"/>
              </w:rPr>
              <w:t>t_arr_IO, W_consol, O_IO, Q_IO(t)</w:t>
            </w:r>
          </w:p>
        </w:tc>
        <w:tc>
          <w:tcPr>
            <w:tcW w:type="dxa" w:w="2280"/>
            <w:vAlign w:val="center"/>
          </w:tcPr>
          <w:p>
            <w:r>
              <w:rPr>
                <w:rFonts w:ascii="Times New Roman" w:hAnsi="Times New Roman" w:eastAsia="宋体"/>
                <w:b w:val="0"/>
                <w:sz w:val="20"/>
              </w:rPr>
              <w:t>到达、等待、占位、队列</w:t>
            </w:r>
          </w:p>
        </w:tc>
        <w:tc>
          <w:tcPr>
            <w:tcW w:type="dxa" w:w="2280"/>
            <w:vAlign w:val="center"/>
          </w:tcPr>
          <w:p>
            <w:r>
              <w:rPr>
                <w:rFonts w:ascii="Times New Roman" w:hAnsi="Times New Roman" w:eastAsia="宋体"/>
                <w:b w:val="0"/>
                <w:sz w:val="20"/>
              </w:rPr>
              <w:t>机理验证与评估（第3-5章）</w:t>
            </w:r>
          </w:p>
        </w:tc>
      </w:tr>
    </w:tbl>
    <w:p>
      <w:pPr>
        <w:pStyle w:val="Heading2"/>
      </w:pPr>
      <w:r>
        <w:rPr>
          <w:rFonts w:ascii="Times New Roman" w:hAnsi="Times New Roman" w:eastAsia="宋体"/>
          <w:b/>
          <w:sz w:val="28"/>
        </w:rPr>
        <w:t>3.3 订单画像与作业类型划分</w:t>
      </w:r>
    </w:p>
    <w:p>
      <w:r>
        <w:rPr>
          <w:rFonts w:ascii="Times New Roman" w:hAnsi="Times New Roman" w:eastAsia="宋体"/>
          <w:b w:val="0"/>
          <w:sz w:val="24"/>
        </w:rPr>
        <w:t>为将订单类型作为后续模型的独立变量，本文将订单划分为整箱拣选订单（Case）、拆零拣选订单（Piece）与拆分订单（Split）。拆分订单同时包含整箱与拆零行项，需要拆分为两个子任务并在交接区合并。高位需求（例如 z≥3）作为能力可行性硬约束：只要订单包含高位行项，则相关子任务必须由EPU执行。</w:t>
      </w:r>
    </w:p>
    <w:p>
      <w:pPr>
        <w:pStyle w:val="Heading2"/>
      </w:pPr>
      <w:r>
        <w:rPr>
          <w:rFonts w:ascii="Times New Roman" w:hAnsi="Times New Roman" w:eastAsia="宋体"/>
          <w:b/>
          <w:sz w:val="28"/>
        </w:rPr>
        <w:t>3.4 关键变量定义与因果链可检验化</w:t>
      </w:r>
    </w:p>
    <w:p>
      <w:r>
        <w:rPr>
          <w:rFonts w:ascii="Times New Roman" w:hAnsi="Times New Roman" w:eastAsia="宋体"/>
          <w:b w:val="0"/>
          <w:sz w:val="24"/>
        </w:rPr>
        <w:t>解释变量：异构资源分配偏差 HRA_dev，基于规则推荐资源 r_i* 与实际指派资源 r_i 定义。机制变量：对拆分订单 i，子任务到达交接区时间差 Δt_i=|t_arr^EPU,i - t_arr^MPU,i|；合并等待 W_consol,i 可用 Δt_i 表达；交接区占位 O_IO,i = W_consol,i + T_merge,i；系统拥堵用队列长度 Q_IO(t) 与累计排队面积 A_queue 描述。结果变量：周转时间尾部延迟 TL_95 或最大完工时间 C_max，以及逾期指标（TRate/TT）。</w:t>
      </w:r>
    </w:p>
    <w:p>
      <w:pPr>
        <w:pStyle w:val="Heading2"/>
      </w:pPr>
      <w:r>
        <w:rPr>
          <w:rFonts w:ascii="Times New Roman" w:hAnsi="Times New Roman" w:eastAsia="宋体"/>
          <w:b/>
          <w:sz w:val="28"/>
        </w:rPr>
        <w:t>3.5 基线策略与机理验证设计</w:t>
      </w:r>
    </w:p>
    <w:p>
      <w:r>
        <w:rPr>
          <w:rFonts w:ascii="Times New Roman" w:hAnsi="Times New Roman" w:eastAsia="宋体"/>
          <w:b w:val="0"/>
          <w:sz w:val="24"/>
        </w:rPr>
        <w:t>基线策略采用先来先服务（FCFS）派工与固定放行批量，并使用固定基线路径策略计算旅行时间。机理验证通过对照实验复现以下链条：HRA_dev→Δt→O_IO→交接区拥堵→尾部/逾期。为避免只观察拆分订单，实验同时记录通道/巷道阻塞等待时间，以区分‘通行拥堵’与‘交接拥堵’两类瓶颈的作用。</w:t>
      </w:r>
    </w:p>
    <w:p>
      <w:pPr>
        <w:pStyle w:val="Heading2"/>
      </w:pPr>
      <w:r>
        <w:rPr>
          <w:rFonts w:ascii="Times New Roman" w:hAnsi="Times New Roman" w:eastAsia="宋体"/>
          <w:b/>
          <w:sz w:val="28"/>
        </w:rPr>
        <w:t>3.6 本章小结</w:t>
      </w:r>
    </w:p>
    <w:p>
      <w:r>
        <w:rPr>
          <w:rFonts w:ascii="Times New Roman" w:hAnsi="Times New Roman" w:eastAsia="宋体"/>
          <w:b w:val="0"/>
          <w:sz w:val="24"/>
        </w:rPr>
        <w:t>本章完成系统、数据与指标口径的操作化，并给出机理验证的对照设计，为模型一与模型二的策略评估提供基线。</w:t>
      </w:r>
    </w:p>
    <w:p>
      <w:r>
        <w:br w:type="page"/>
      </w:r>
    </w:p>
    <w:p>
      <w:pPr>
        <w:pStyle w:val="Heading1"/>
      </w:pPr>
      <w:r>
        <w:rPr>
          <w:rFonts w:ascii="Times New Roman" w:hAnsi="Times New Roman" w:eastAsia="宋体"/>
          <w:b/>
          <w:sz w:val="32"/>
        </w:rPr>
        <w:t>第四章 模型一：异构资源分配与拆分决策模型</w:t>
      </w:r>
    </w:p>
    <w:p>
      <w:pPr>
        <w:pStyle w:val="Heading2"/>
      </w:pPr>
      <w:r>
        <w:rPr>
          <w:rFonts w:ascii="Times New Roman" w:hAnsi="Times New Roman" w:eastAsia="宋体"/>
          <w:b/>
          <w:sz w:val="28"/>
        </w:rPr>
        <w:t>4.1 问题描述</w:t>
      </w:r>
    </w:p>
    <w:p>
      <w:r>
        <w:rPr>
          <w:rFonts w:ascii="Times New Roman" w:hAnsi="Times New Roman" w:eastAsia="宋体"/>
          <w:b w:val="0"/>
          <w:sz w:val="24"/>
        </w:rPr>
        <w:t>模型一在静态规划窗口内对到达订单进行资源指派与拆分决策，目标是在能力可行性约束下压缩拆分订单子任务到达异步，并降低交接区同步性占位风险。</w:t>
      </w:r>
    </w:p>
    <w:p>
      <w:pPr>
        <w:pStyle w:val="Heading2"/>
      </w:pPr>
      <w:r>
        <w:rPr>
          <w:rFonts w:ascii="Times New Roman" w:hAnsi="Times New Roman" w:eastAsia="宋体"/>
          <w:b/>
          <w:sz w:val="28"/>
        </w:rPr>
        <w:t>4.2 符号与决策变量（示例）</w:t>
      </w:r>
    </w:p>
    <w:p>
      <w:r>
        <w:rPr>
          <w:rFonts w:ascii="Times New Roman" w:hAnsi="Times New Roman" w:eastAsia="宋体"/>
          <w:b w:val="0"/>
          <w:sz w:val="24"/>
        </w:rPr>
        <w:t>集合：订单集合 I；资源集合 R={EPU, MPU}；拆分订单子任务集合 K_i。参数：截止时间 d_i；订单画像向量 F_i（例如 SKU数、巷道覆盖、体量特征与高位需求）。变量：指派变量 x_{i,r}∈{0,1}；对拆分订单的子任务指派 x_{i,k,r}；拆分决策 s_i∈{0,1}（仅对可拆分订单定义）。</w:t>
      </w:r>
    </w:p>
    <w:p>
      <w:pPr>
        <w:pStyle w:val="Heading2"/>
      </w:pPr>
      <w:r>
        <w:rPr>
          <w:rFonts w:ascii="Times New Roman" w:hAnsi="Times New Roman" w:eastAsia="宋体"/>
          <w:b/>
          <w:sz w:val="28"/>
        </w:rPr>
        <w:t>4.3 目标函数与约束（标准表达）</w:t>
      </w:r>
    </w:p>
    <w:p>
      <w:r>
        <w:rPr>
          <w:rFonts w:ascii="Times New Roman" w:hAnsi="Times New Roman" w:eastAsia="宋体"/>
          <w:b w:val="0"/>
          <w:sz w:val="24"/>
        </w:rPr>
        <w:t>模型一可采用‘可靠性目标 + 同步性惩罚’的表达：最小化窗口内 C_max 或总逾期时间，并对预计到达异步加入惩罚项以压缩Δt。约束包括：唯一指派；能力可行性（高位行项必须由EPU执行）；资源数量/工作量约束；拆分订单合并一致性约束；以及吞吐/完工时间不显著劣化的硬约束（θ）。</w:t>
      </w:r>
    </w:p>
    <w:p>
      <w:pPr>
        <w:pStyle w:val="Heading2"/>
      </w:pPr>
      <w:r>
        <w:rPr>
          <w:rFonts w:ascii="Times New Roman" w:hAnsi="Times New Roman" w:eastAsia="宋体"/>
          <w:b/>
          <w:sz w:val="28"/>
        </w:rPr>
        <w:t>4.4 求解策略与可部署规则</w:t>
      </w:r>
    </w:p>
    <w:p>
      <w:r>
        <w:rPr>
          <w:rFonts w:ascii="Times New Roman" w:hAnsi="Times New Roman" w:eastAsia="宋体"/>
          <w:b w:val="0"/>
          <w:sz w:val="24"/>
        </w:rPr>
        <w:t>考虑在线部署需求，模型一提供两种实现形态：（1）规则型指派：先满足高位硬约束，再基于订单画像选择资源类型，并对拆分订单给出子任务分配；（2）简化混合整数规划：在滚动窗口内求解小规模指派问题，用于离线校准规则阈值与权重。</w:t>
      </w:r>
    </w:p>
    <w:p>
      <w:pPr>
        <w:pStyle w:val="Heading2"/>
      </w:pPr>
      <w:r>
        <w:rPr>
          <w:rFonts w:ascii="Times New Roman" w:hAnsi="Times New Roman" w:eastAsia="宋体"/>
          <w:b/>
          <w:sz w:val="28"/>
        </w:rPr>
        <w:t>4.5 仿真实验设计与评价指标</w:t>
      </w:r>
    </w:p>
    <w:p>
      <w:r>
        <w:rPr>
          <w:rFonts w:ascii="Times New Roman" w:hAnsi="Times New Roman" w:eastAsia="宋体"/>
          <w:b w:val="0"/>
          <w:sz w:val="24"/>
        </w:rPr>
        <w:t>在离散事件仿真平台中，对比‘基线粗放指派’‘仅硬约束指派’‘完整模型一指派’三组方案。评价指标包括：HRA_dev、Δt、O_IO、交接区拥堵（Q_IO、A_queue）、尾部延迟/最大完工时间与逾期。</w:t>
      </w:r>
    </w:p>
    <w:p>
      <w:pPr>
        <w:pStyle w:val="Heading2"/>
      </w:pPr>
      <w:r>
        <w:rPr>
          <w:rFonts w:ascii="Times New Roman" w:hAnsi="Times New Roman" w:eastAsia="宋体"/>
          <w:b/>
          <w:sz w:val="28"/>
        </w:rPr>
        <w:t>4.6 本章小结</w:t>
      </w:r>
    </w:p>
    <w:p>
      <w:r>
        <w:rPr>
          <w:rFonts w:ascii="Times New Roman" w:hAnsi="Times New Roman" w:eastAsia="宋体"/>
          <w:b w:val="0"/>
          <w:sz w:val="24"/>
        </w:rPr>
        <w:t>本章提出模型一并给出可部署的指派实现方式，为动态控制前置消减到达异步与占位风险。</w:t>
      </w:r>
    </w:p>
    <w:p>
      <w:r>
        <w:br w:type="page"/>
      </w:r>
    </w:p>
    <w:p>
      <w:pPr>
        <w:pStyle w:val="Heading1"/>
      </w:pPr>
      <w:r>
        <w:rPr>
          <w:rFonts w:ascii="Times New Roman" w:hAnsi="Times New Roman" w:eastAsia="宋体"/>
          <w:b/>
          <w:sz w:val="32"/>
        </w:rPr>
        <w:t>第五章 模型二：动态订单下达、订单分批排序与路径规划模型</w:t>
      </w:r>
    </w:p>
    <w:p>
      <w:pPr>
        <w:pStyle w:val="Heading2"/>
      </w:pPr>
      <w:r>
        <w:rPr>
          <w:rFonts w:ascii="Times New Roman" w:hAnsi="Times New Roman" w:eastAsia="宋体"/>
          <w:b/>
          <w:sz w:val="28"/>
        </w:rPr>
        <w:t>5.1 问题描述与控制框架</w:t>
      </w:r>
    </w:p>
    <w:p>
      <w:r>
        <w:rPr>
          <w:rFonts w:ascii="Times New Roman" w:hAnsi="Times New Roman" w:eastAsia="宋体"/>
          <w:b w:val="0"/>
          <w:sz w:val="24"/>
        </w:rPr>
        <w:t>模型二面向动态到达与峰值波动，采用拥堵感知的动态订单下达策略：通过状态监测触发批次规模调整与释放顺序调整，以控制交接区拥堵并稳定尾部与逾期指标。</w:t>
      </w:r>
    </w:p>
    <w:p>
      <w:pPr>
        <w:pStyle w:val="Heading2"/>
      </w:pPr>
      <w:r>
        <w:rPr>
          <w:rFonts w:ascii="Times New Roman" w:hAnsi="Times New Roman" w:eastAsia="宋体"/>
          <w:b/>
          <w:sz w:val="28"/>
        </w:rPr>
        <w:t>5.2 拥堵状态判定（分位数触发）</w:t>
      </w:r>
    </w:p>
    <w:p>
      <w:r>
        <w:rPr>
          <w:rFonts w:ascii="Times New Roman" w:hAnsi="Times New Roman" w:eastAsia="宋体"/>
          <w:b w:val="0"/>
          <w:sz w:val="24"/>
        </w:rPr>
        <w:t>拥堵状态以交接区累计超额占用或累计排队面积为核心统计量。在滑动窗口 W 内计算 A_queue(W)，并与基线条件下的分位阈值（例如 P80）比较：当 A_queue(W)≥Th_cong 时判定为拥堵态，否则为正常态。</w:t>
      </w:r>
    </w:p>
    <w:p>
      <w:pPr>
        <w:pStyle w:val="Heading2"/>
      </w:pPr>
      <w:r>
        <w:rPr>
          <w:rFonts w:ascii="Times New Roman" w:hAnsi="Times New Roman" w:eastAsia="宋体"/>
          <w:b/>
          <w:sz w:val="28"/>
        </w:rPr>
        <w:t>5.3 同步风险代理的动态修正</w:t>
      </w:r>
    </w:p>
    <w:p>
      <w:r>
        <w:rPr>
          <w:rFonts w:ascii="Times New Roman" w:hAnsi="Times New Roman" w:eastAsia="宋体"/>
          <w:b w:val="0"/>
          <w:sz w:val="24"/>
        </w:rPr>
        <w:t>同步风险代理 R_sync 以拆分订单两个子任务的预计到达时间差近似。为降低拥堵态下自由流旅行时间假设带来的失真，本文对预计旅行时间引入在线校准项：以近窗内旅行时间膨胀因子 κ(t) 修正自由流旅行时间，再计算预计到达差得到 R_sync。R_sync 仅用于排序与放行控制，不用于决定是否拆分。</w:t>
      </w:r>
    </w:p>
    <w:p>
      <w:pPr>
        <w:pStyle w:val="Heading2"/>
      </w:pPr>
      <w:r>
        <w:rPr>
          <w:rFonts w:ascii="Times New Roman" w:hAnsi="Times New Roman" w:eastAsia="宋体"/>
          <w:b/>
          <w:sz w:val="28"/>
        </w:rPr>
        <w:t>5.4 动态订单下达与订单分批排序规则</w:t>
      </w:r>
    </w:p>
    <w:p>
      <w:r>
        <w:rPr>
          <w:rFonts w:ascii="Times New Roman" w:hAnsi="Times New Roman" w:eastAsia="宋体"/>
          <w:b w:val="0"/>
          <w:sz w:val="24"/>
        </w:rPr>
        <w:t>控制动作包括：</w:t>
        <w:br/>
        <w:t>（1）动态批次规模 K(t)：正常态取常规值，拥堵态按缩减系数下调，以缩短单批占位并加快交接区释放；</w:t>
        <w:br/>
        <w:t>（2）释放顺序调整：拥堵态优先释放预计交接区占位短、同步风险低的任务，延后高同步风险的拆分订单；高价值订单可设置更高优先级。</w:t>
      </w:r>
    </w:p>
    <w:p>
      <w:pPr>
        <w:pStyle w:val="Heading2"/>
      </w:pPr>
      <w:r>
        <w:rPr>
          <w:rFonts w:ascii="Times New Roman" w:hAnsi="Times New Roman" w:eastAsia="宋体"/>
          <w:b/>
          <w:sz w:val="28"/>
        </w:rPr>
        <w:t>5.5 批次规模对拥堵的影响机制（本章核心）</w:t>
      </w:r>
    </w:p>
    <w:p>
      <w:r>
        <w:rPr>
          <w:rFonts w:ascii="Times New Roman" w:hAnsi="Times New Roman" w:eastAsia="宋体"/>
          <w:b w:val="0"/>
          <w:sz w:val="24"/>
        </w:rPr>
        <w:t>批次规模影响路径长度与任务完成聚集，从而改变到达交接区的节奏并影响拥堵。本文在仿真中记录 K(t) 变化对以下链条的响应：路径长度与完成聚集 → 到达交接区的聚集程度与同步风险 → 交接区占位与队列 → 拥堵持续与尾部/逾期。</w:t>
      </w:r>
    </w:p>
    <w:p>
      <w:pPr>
        <w:pStyle w:val="Heading2"/>
      </w:pPr>
      <w:r>
        <w:rPr>
          <w:rFonts w:ascii="Times New Roman" w:hAnsi="Times New Roman" w:eastAsia="宋体"/>
          <w:b/>
          <w:sz w:val="28"/>
        </w:rPr>
        <w:t>5.6 滚动时域重优化（可选增强）</w:t>
      </w:r>
    </w:p>
    <w:p>
      <w:r>
        <w:rPr>
          <w:rFonts w:ascii="Times New Roman" w:hAnsi="Times New Roman" w:eastAsia="宋体"/>
          <w:b w:val="0"/>
          <w:sz w:val="24"/>
        </w:rPr>
        <w:t>在拥堵触发时，可将经验规则映射为滚动窗口内的短视距代理优化问题：以当前在制品与积压为初始状态，求解带拥堵惩罚项的简化模型一，用于校准 K(t) 与释放顺序参数，从而缓解模型一目标与模型二状态机之间的解析断裂。</w:t>
      </w:r>
    </w:p>
    <w:p>
      <w:pPr>
        <w:pStyle w:val="Heading2"/>
      </w:pPr>
      <w:r>
        <w:rPr>
          <w:rFonts w:ascii="Times New Roman" w:hAnsi="Times New Roman" w:eastAsia="宋体"/>
          <w:b/>
          <w:sz w:val="28"/>
        </w:rPr>
        <w:t>5.7 路径规划与对照求解器</w:t>
      </w:r>
    </w:p>
    <w:p>
      <w:r>
        <w:rPr>
          <w:rFonts w:ascii="Times New Roman" w:hAnsi="Times New Roman" w:eastAsia="宋体"/>
          <w:b w:val="0"/>
          <w:sz w:val="24"/>
        </w:rPr>
        <w:t>执行层采用固定基线路径策略用于旅行时间计算；更强的路径/分批求解器（如GA-ALNS）作为对照或上界，用于增强结论可信度，但不作为本文贡献点。</w:t>
      </w:r>
    </w:p>
    <w:p>
      <w:pPr>
        <w:pStyle w:val="Heading2"/>
      </w:pPr>
      <w:r>
        <w:rPr>
          <w:rFonts w:ascii="Times New Roman" w:hAnsi="Times New Roman" w:eastAsia="宋体"/>
          <w:b/>
          <w:sz w:val="28"/>
        </w:rPr>
        <w:t>5.8 仿真实验设计与结果分析框架（初稿）</w:t>
      </w:r>
    </w:p>
    <w:tbl>
      <w:tblPr>
        <w:tblW w:type="auto" w:w="0"/>
        <w:jc w:val="center"/>
        <w:tblLook w:firstColumn="1" w:firstRow="1" w:lastColumn="0" w:lastRow="0" w:noHBand="0" w:noVBand="1" w:val="04A0"/>
      </w:tblPr>
      <w:tblGrid>
        <w:gridCol w:w="2280"/>
        <w:gridCol w:w="2280"/>
        <w:gridCol w:w="2280"/>
        <w:gridCol w:w="2280"/>
      </w:tblGrid>
      <w:tr>
        <w:tc>
          <w:tcPr>
            <w:tcW w:type="dxa" w:w="2280"/>
            <w:vAlign w:val="center"/>
          </w:tcPr>
          <w:p>
            <w:r>
              <w:rPr>
                <w:rFonts w:ascii="Times New Roman" w:hAnsi="Times New Roman" w:eastAsia="宋体"/>
                <w:b/>
                <w:sz w:val="20"/>
              </w:rPr>
              <w:t>实验维度</w:t>
            </w:r>
          </w:p>
        </w:tc>
        <w:tc>
          <w:tcPr>
            <w:tcW w:type="dxa" w:w="2280"/>
            <w:vAlign w:val="center"/>
          </w:tcPr>
          <w:p>
            <w:r>
              <w:rPr>
                <w:rFonts w:ascii="Times New Roman" w:hAnsi="Times New Roman" w:eastAsia="宋体"/>
                <w:b/>
                <w:sz w:val="20"/>
              </w:rPr>
              <w:t>设置</w:t>
            </w:r>
          </w:p>
        </w:tc>
        <w:tc>
          <w:tcPr>
            <w:tcW w:type="dxa" w:w="2280"/>
            <w:vAlign w:val="center"/>
          </w:tcPr>
          <w:p>
            <w:r>
              <w:rPr>
                <w:rFonts w:ascii="Times New Roman" w:hAnsi="Times New Roman" w:eastAsia="宋体"/>
                <w:b/>
                <w:sz w:val="20"/>
              </w:rPr>
              <w:t>对照/消融</w:t>
            </w:r>
          </w:p>
        </w:tc>
        <w:tc>
          <w:tcPr>
            <w:tcW w:type="dxa" w:w="2280"/>
            <w:vAlign w:val="center"/>
          </w:tcPr>
          <w:p>
            <w:r>
              <w:rPr>
                <w:rFonts w:ascii="Times New Roman" w:hAnsi="Times New Roman" w:eastAsia="宋体"/>
                <w:b/>
                <w:sz w:val="20"/>
              </w:rPr>
              <w:t>输出指标</w:t>
            </w:r>
          </w:p>
        </w:tc>
      </w:tr>
      <w:tr>
        <w:tc>
          <w:tcPr>
            <w:tcW w:type="dxa" w:w="2280"/>
            <w:vAlign w:val="center"/>
          </w:tcPr>
          <w:p>
            <w:r>
              <w:rPr>
                <w:rFonts w:ascii="Times New Roman" w:hAnsi="Times New Roman" w:eastAsia="宋体"/>
                <w:b w:val="0"/>
                <w:sz w:val="20"/>
              </w:rPr>
              <w:t>需求强度</w:t>
            </w:r>
          </w:p>
        </w:tc>
        <w:tc>
          <w:tcPr>
            <w:tcW w:type="dxa" w:w="2280"/>
            <w:vAlign w:val="center"/>
          </w:tcPr>
          <w:p>
            <w:r>
              <w:rPr>
                <w:rFonts w:ascii="Times New Roman" w:hAnsi="Times New Roman" w:eastAsia="宋体"/>
                <w:b w:val="0"/>
                <w:sz w:val="20"/>
              </w:rPr>
              <w:t>低/中/高（到达率倍增或选峰值窗口）</w:t>
            </w:r>
          </w:p>
        </w:tc>
        <w:tc>
          <w:tcPr>
            <w:tcW w:type="dxa" w:w="2280"/>
            <w:vAlign w:val="center"/>
          </w:tcPr>
          <w:p>
            <w:r>
              <w:rPr>
                <w:rFonts w:ascii="Times New Roman" w:hAnsi="Times New Roman" w:eastAsia="宋体"/>
                <w:b w:val="0"/>
                <w:sz w:val="20"/>
              </w:rPr>
              <w:t>固定指派 vs 模型一+二</w:t>
            </w:r>
          </w:p>
        </w:tc>
        <w:tc>
          <w:tcPr>
            <w:tcW w:type="dxa" w:w="2280"/>
            <w:vAlign w:val="center"/>
          </w:tcPr>
          <w:p>
            <w:r>
              <w:rPr>
                <w:rFonts w:ascii="Times New Roman" w:hAnsi="Times New Roman" w:eastAsia="宋体"/>
                <w:b w:val="0"/>
                <w:sz w:val="20"/>
              </w:rPr>
              <w:t>TL_95/C_max, TRate/TT, TR</w:t>
            </w:r>
          </w:p>
        </w:tc>
      </w:tr>
      <w:tr>
        <w:tc>
          <w:tcPr>
            <w:tcW w:type="dxa" w:w="2280"/>
            <w:vAlign w:val="center"/>
          </w:tcPr>
          <w:p>
            <w:r>
              <w:rPr>
                <w:rFonts w:ascii="Times New Roman" w:hAnsi="Times New Roman" w:eastAsia="宋体"/>
                <w:b w:val="0"/>
                <w:sz w:val="20"/>
              </w:rPr>
              <w:t>拥堵触发</w:t>
            </w:r>
          </w:p>
        </w:tc>
        <w:tc>
          <w:tcPr>
            <w:tcW w:type="dxa" w:w="2280"/>
            <w:vAlign w:val="center"/>
          </w:tcPr>
          <w:p>
            <w:r>
              <w:rPr>
                <w:rFonts w:ascii="Times New Roman" w:hAnsi="Times New Roman" w:eastAsia="宋体"/>
                <w:b w:val="0"/>
                <w:sz w:val="20"/>
              </w:rPr>
              <w:t>阈值=P80，窗口W=5min（可敏感性）</w:t>
            </w:r>
          </w:p>
        </w:tc>
        <w:tc>
          <w:tcPr>
            <w:tcW w:type="dxa" w:w="2280"/>
            <w:vAlign w:val="center"/>
          </w:tcPr>
          <w:p>
            <w:r>
              <w:rPr>
                <w:rFonts w:ascii="Times New Roman" w:hAnsi="Times New Roman" w:eastAsia="宋体"/>
                <w:b w:val="0"/>
                <w:sz w:val="20"/>
              </w:rPr>
              <w:t>不触发/只调K/只调顺序/全策略</w:t>
            </w:r>
          </w:p>
        </w:tc>
        <w:tc>
          <w:tcPr>
            <w:tcW w:type="dxa" w:w="2280"/>
            <w:vAlign w:val="center"/>
          </w:tcPr>
          <w:p>
            <w:r>
              <w:rPr>
                <w:rFonts w:ascii="Times New Roman" w:hAnsi="Times New Roman" w:eastAsia="宋体"/>
                <w:b w:val="0"/>
                <w:sz w:val="20"/>
              </w:rPr>
              <w:t>Q_IO(t), A_queue, 拥堵持续时长</w:t>
            </w:r>
          </w:p>
        </w:tc>
      </w:tr>
      <w:tr>
        <w:tc>
          <w:tcPr>
            <w:tcW w:type="dxa" w:w="2280"/>
            <w:vAlign w:val="center"/>
          </w:tcPr>
          <w:p>
            <w:r>
              <w:rPr>
                <w:rFonts w:ascii="Times New Roman" w:hAnsi="Times New Roman" w:eastAsia="宋体"/>
                <w:b w:val="0"/>
                <w:sz w:val="20"/>
              </w:rPr>
              <w:t>交接区容量</w:t>
            </w:r>
          </w:p>
        </w:tc>
        <w:tc>
          <w:tcPr>
            <w:tcW w:type="dxa" w:w="2280"/>
            <w:vAlign w:val="center"/>
          </w:tcPr>
          <w:p>
            <w:r>
              <w:rPr>
                <w:rFonts w:ascii="Times New Roman" w:hAnsi="Times New Roman" w:eastAsia="宋体"/>
                <w:b w:val="0"/>
                <w:sz w:val="20"/>
              </w:rPr>
              <w:t>cap_IO=1；扩展为并行容量c并做敏感性</w:t>
            </w:r>
          </w:p>
        </w:tc>
        <w:tc>
          <w:tcPr>
            <w:tcW w:type="dxa" w:w="2280"/>
            <w:vAlign w:val="center"/>
          </w:tcPr>
          <w:p>
            <w:r>
              <w:rPr>
                <w:rFonts w:ascii="Times New Roman" w:hAnsi="Times New Roman" w:eastAsia="宋体"/>
                <w:b w:val="0"/>
                <w:sz w:val="20"/>
              </w:rPr>
              <w:t>c∈{1,2,3}</w:t>
            </w:r>
          </w:p>
        </w:tc>
        <w:tc>
          <w:tcPr>
            <w:tcW w:type="dxa" w:w="2280"/>
            <w:vAlign w:val="center"/>
          </w:tcPr>
          <w:p>
            <w:r>
              <w:rPr>
                <w:rFonts w:ascii="Times New Roman" w:hAnsi="Times New Roman" w:eastAsia="宋体"/>
                <w:b w:val="0"/>
                <w:sz w:val="20"/>
              </w:rPr>
              <w:t>尾部与逾期方向一致性</w:t>
            </w:r>
          </w:p>
        </w:tc>
      </w:tr>
      <w:tr>
        <w:tc>
          <w:tcPr>
            <w:tcW w:type="dxa" w:w="2280"/>
            <w:vAlign w:val="center"/>
          </w:tcPr>
          <w:p>
            <w:r>
              <w:rPr>
                <w:rFonts w:ascii="Times New Roman" w:hAnsi="Times New Roman" w:eastAsia="宋体"/>
                <w:b w:val="0"/>
                <w:sz w:val="20"/>
              </w:rPr>
              <w:t>背景扰动</w:t>
            </w:r>
          </w:p>
        </w:tc>
        <w:tc>
          <w:tcPr>
            <w:tcW w:type="dxa" w:w="2280"/>
            <w:vAlign w:val="center"/>
          </w:tcPr>
          <w:p>
            <w:r>
              <w:rPr>
                <w:rFonts w:ascii="Times New Roman" w:hAnsi="Times New Roman" w:eastAsia="宋体"/>
                <w:b w:val="0"/>
                <w:sz w:val="20"/>
              </w:rPr>
              <w:t>BGFlow占用5%/10%/20%</w:t>
            </w:r>
          </w:p>
        </w:tc>
        <w:tc>
          <w:tcPr>
            <w:tcW w:type="dxa" w:w="2280"/>
            <w:vAlign w:val="center"/>
          </w:tcPr>
          <w:p>
            <w:r>
              <w:rPr>
                <w:rFonts w:ascii="Times New Roman" w:hAnsi="Times New Roman" w:eastAsia="宋体"/>
                <w:b w:val="0"/>
                <w:sz w:val="20"/>
              </w:rPr>
              <w:t>有/无扰动</w:t>
            </w:r>
          </w:p>
        </w:tc>
        <w:tc>
          <w:tcPr>
            <w:tcW w:type="dxa" w:w="2280"/>
            <w:vAlign w:val="center"/>
          </w:tcPr>
          <w:p>
            <w:r>
              <w:rPr>
                <w:rFonts w:ascii="Times New Roman" w:hAnsi="Times New Roman" w:eastAsia="宋体"/>
                <w:b w:val="0"/>
                <w:sz w:val="20"/>
              </w:rPr>
              <w:t>稳健性与失败模式</w:t>
            </w:r>
          </w:p>
        </w:tc>
      </w:tr>
    </w:tbl>
    <w:p>
      <w:pPr>
        <w:pStyle w:val="Heading2"/>
      </w:pPr>
      <w:r>
        <w:rPr>
          <w:rFonts w:ascii="Times New Roman" w:hAnsi="Times New Roman" w:eastAsia="宋体"/>
          <w:b/>
          <w:sz w:val="28"/>
        </w:rPr>
        <w:t>5.9 本章小结</w:t>
      </w:r>
    </w:p>
    <w:p>
      <w:r>
        <w:rPr>
          <w:rFonts w:ascii="Times New Roman" w:hAnsi="Times New Roman" w:eastAsia="宋体"/>
          <w:b w:val="0"/>
          <w:sz w:val="24"/>
        </w:rPr>
        <w:t>本章提出模型二的动态控制框架，并给出拥堵判定、同步风险代理修正、动态分批与排序规则及仿真评估设计。</w:t>
      </w:r>
    </w:p>
    <w:p>
      <w:r>
        <w:br w:type="page"/>
      </w:r>
    </w:p>
    <w:p>
      <w:pPr>
        <w:pStyle w:val="Heading1"/>
      </w:pPr>
      <w:r>
        <w:rPr>
          <w:rFonts w:ascii="Times New Roman" w:hAnsi="Times New Roman" w:eastAsia="宋体"/>
          <w:b/>
          <w:sz w:val="32"/>
        </w:rPr>
        <w:t>第六章 结论与展望</w:t>
      </w:r>
    </w:p>
    <w:p>
      <w:pPr>
        <w:pStyle w:val="Heading2"/>
      </w:pPr>
      <w:r>
        <w:rPr>
          <w:rFonts w:ascii="Times New Roman" w:hAnsi="Times New Roman" w:eastAsia="宋体"/>
          <w:b/>
          <w:sz w:val="28"/>
        </w:rPr>
        <w:t>6.1 研究结论（占位）</w:t>
      </w:r>
    </w:p>
    <w:p>
      <w:r>
        <w:rPr>
          <w:rFonts w:ascii="Times New Roman" w:hAnsi="Times New Roman" w:eastAsia="宋体"/>
          <w:b w:val="0"/>
          <w:sz w:val="24"/>
        </w:rPr>
        <w:t>本节将在完成仿真实验后，按研究问题RQ1-RQ5汇总主要结论，包括机理链条证据、模型一效果、模型二在峰值阶段的稳定性与吞吐约束下的权衡结果。</w:t>
      </w:r>
    </w:p>
    <w:p>
      <w:pPr>
        <w:pStyle w:val="Heading2"/>
      </w:pPr>
      <w:r>
        <w:rPr>
          <w:rFonts w:ascii="Times New Roman" w:hAnsi="Times New Roman" w:eastAsia="宋体"/>
          <w:b/>
          <w:sz w:val="28"/>
        </w:rPr>
        <w:t>6.2 管理启示（占位）</w:t>
      </w:r>
    </w:p>
    <w:p>
      <w:r>
        <w:rPr>
          <w:rFonts w:ascii="Times New Roman" w:hAnsi="Times New Roman" w:eastAsia="宋体"/>
          <w:b w:val="0"/>
          <w:sz w:val="24"/>
        </w:rPr>
        <w:t>本节将给出可部署规则：资源指派矩阵、拥堵触发阈值、批次规模调整规则与释放优先级规则。</w:t>
      </w:r>
    </w:p>
    <w:p>
      <w:pPr>
        <w:pStyle w:val="Heading2"/>
      </w:pPr>
      <w:r>
        <w:rPr>
          <w:rFonts w:ascii="Times New Roman" w:hAnsi="Times New Roman" w:eastAsia="宋体"/>
          <w:b/>
          <w:sz w:val="28"/>
        </w:rPr>
        <w:t>6.3 研究局限（占位）</w:t>
      </w:r>
    </w:p>
    <w:p>
      <w:r>
        <w:rPr>
          <w:rFonts w:ascii="Times New Roman" w:hAnsi="Times New Roman" w:eastAsia="宋体"/>
          <w:b w:val="0"/>
          <w:sz w:val="24"/>
        </w:rPr>
        <w:t>包括研究边界、截止时间外生设定、参数标定与数据可得性限制等。</w:t>
      </w:r>
    </w:p>
    <w:p>
      <w:pPr>
        <w:pStyle w:val="Heading2"/>
      </w:pPr>
      <w:r>
        <w:rPr>
          <w:rFonts w:ascii="Times New Roman" w:hAnsi="Times New Roman" w:eastAsia="宋体"/>
          <w:b/>
          <w:sz w:val="28"/>
        </w:rPr>
        <w:t>6.4 未来研究展望（占位）</w:t>
      </w:r>
    </w:p>
    <w:p>
      <w:r>
        <w:rPr>
          <w:rFonts w:ascii="Times New Roman" w:hAnsi="Times New Roman" w:eastAsia="宋体"/>
          <w:b w:val="0"/>
          <w:sz w:val="24"/>
        </w:rPr>
        <w:t>包括端到端协同、更多不确定性建模、并行合并系统的更精细刻画等。</w:t>
      </w:r>
    </w:p>
    <w:p>
      <w:r>
        <w:br w:type="page"/>
      </w:r>
    </w:p>
    <w:p>
      <w:pPr>
        <w:pStyle w:val="Heading1"/>
      </w:pPr>
      <w:r>
        <w:rPr>
          <w:rFonts w:ascii="Times New Roman" w:hAnsi="Times New Roman" w:eastAsia="宋体"/>
          <w:b/>
          <w:sz w:val="32"/>
        </w:rPr>
        <w:t>参考文献（占位）</w:t>
      </w:r>
    </w:p>
    <w:p>
      <w:r>
        <w:rPr>
          <w:rFonts w:ascii="Times New Roman" w:hAnsi="Times New Roman" w:eastAsia="宋体"/>
          <w:b w:val="0"/>
          <w:sz w:val="22"/>
        </w:rPr>
        <w:t>后续将按学校格式补充，并与正文引用一致。</w:t>
      </w:r>
    </w:p>
    <w:p>
      <w:r>
        <w:br w:type="page"/>
      </w:r>
    </w:p>
    <w:p>
      <w:pPr>
        <w:pStyle w:val="Heading1"/>
      </w:pPr>
      <w:r>
        <w:rPr>
          <w:rFonts w:ascii="Times New Roman" w:hAnsi="Times New Roman" w:eastAsia="宋体"/>
          <w:b/>
          <w:sz w:val="32"/>
        </w:rPr>
        <w:t>附录A 符号与数据字段说明（占位）</w:t>
      </w:r>
    </w:p>
    <w:p>
      <w:r>
        <w:rPr>
          <w:rFonts w:ascii="Times New Roman" w:hAnsi="Times New Roman" w:eastAsia="宋体"/>
          <w:b w:val="0"/>
          <w:sz w:val="22"/>
        </w:rPr>
        <w:t>D_i：订单i的仓内履约完成时长；TL_95：周转时间第95百分位；C_max：最大完工时间；TRate：总逾期率；TT：总逾期时间；Δt：到达异步间隔；O_IO：交接区占位时长；Q_IO：交接区队列长度；A_queue：累计排队面积；HRA_dev：异构资源分配偏差。</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