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 w:ascii="Calibri" w:hAnsi="Calibri"/>
          <w:b/>
          <w:sz w:val="32"/>
        </w:rPr>
        <w:t>鞋服全渠道仓储履约可靠性研究：最新框架与仿真实施清单（主版本）</w:t>
      </w:r>
    </w:p>
    <w:p>
      <w:pPr>
        <w:jc w:val="center"/>
      </w:pPr>
      <w:r>
        <w:rPr>
          <w:rFonts w:eastAsia="宋体" w:ascii="Calibri" w:hAnsi="Calibri"/>
        </w:rPr>
        <w:t>版本日期：2026-02-21   |   口径：履约完成=到达交接区并完成合并服务（Ready-to-Ship）</w:t>
      </w:r>
    </w:p>
    <w:p/>
    <w:p>
      <w:pPr>
        <w:pStyle w:val="Heading1"/>
      </w:pPr>
      <w:r>
        <w:rPr>
          <w:rFonts w:eastAsia="宋体" w:ascii="Calibri" w:hAnsi="Calibri"/>
        </w:rPr>
        <w:t>0 使用说明与口径锁定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本文件用于固化当前论文的“研究边界、变量口径、模型结构、实验设计与代码工作清单”。后续撰写与 Trae 跑数以本文件为唯一口径源。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研究边界：仅覆盖仓内作业，从订单进入拣选池开始，到订单到达交接区并完成合并服务为止；不对末端配送进行建模与优化。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SLA 口径：将端到端承诺通过“时间预算分解”倒推为仓内 SLA（例如 VIP 订单 4h 内 Ready-to-Ship）。</w:t>
      </w:r>
    </w:p>
    <w:p>
      <w:pPr>
        <w:pStyle w:val="Heading1"/>
      </w:pPr>
      <w:r>
        <w:rPr>
          <w:rFonts w:eastAsia="宋体" w:ascii="Calibri" w:hAnsi="Calibri"/>
        </w:rPr>
        <w:t>1 科学问题提出、研究目标与研究边界</w:t>
      </w:r>
    </w:p>
    <w:p>
      <w:pPr>
        <w:pStyle w:val="Heading2"/>
      </w:pPr>
      <w:r>
        <w:rPr>
          <w:rFonts w:eastAsia="宋体" w:ascii="Calibri" w:hAnsi="Calibri"/>
        </w:rPr>
        <w:t>1.1 研究对象与关键矛盾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研究对象：鞋服全渠道履约中心（Omni-channel Fulfillment Center）的出库拣选与交接作业。订单同时包含整箱拣选（Case picking）、拆零拣选（Piece picking）与拆分订单（Split orders：同时包含整箱与拆零行项，需要拆分并最终合并）。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关键矛盾：在资源与通道容量刚性受限（短周期不可扩容、通道/巷道可容纳的设备数有限）的条件下，异质订单与异质资源并存，粗放调度会产生两类问题：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（1）任务-资源能力错配（Capability–Task Mismatch）：例如高载重/高位需求任务被分配给低能力资源，或大体积设备执行高离散小件任务导致通行受阻。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（2）拆分订单的合并等待（Order consolidation waiting）：拆分后的子任务到达交接区时间不同步，先到部分占用交接区暂存/服务能力等待后到部分，触发排队与连锁延误。</w:t>
      </w:r>
    </w:p>
    <w:p>
      <w:pPr>
        <w:pStyle w:val="Heading2"/>
      </w:pPr>
      <w:r>
        <w:rPr>
          <w:rFonts w:eastAsia="宋体" w:ascii="Calibri" w:hAnsi="Calibri"/>
        </w:rPr>
        <w:t>1.2 因变量、SLA 与“只做到发货”的合理性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因变量：仓内履约完成时间（Ready-to-Ship 完成时间）（D_i），定义为订单 i 的最后一个子任务到达交接区并完成合并服务的时刻（见 2.3）。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SLA 指标：高价值订单的 P95(D) 与 SLA 违约率（Violation Rate），其中违约率按“D_i 超过仓内 SLA 阈值”统计（例如 4 小时）。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边界解释：末端配送时间属于外生变量（受路网、天气、3PL 运营影响），本文聚焦可控的仓内环节，并通过“时间预算分解/截单时间”将端到端承诺转化为仓内 SLA 约束。</w:t>
      </w:r>
    </w:p>
    <w:p>
      <w:pPr>
        <w:pStyle w:val="Heading2"/>
      </w:pPr>
      <w:r>
        <w:rPr>
          <w:rFonts w:eastAsia="宋体" w:ascii="Calibri" w:hAnsi="Calibri"/>
        </w:rPr>
        <w:t>1.3 核心科学问题（Research Questions）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RQ1（机理）：在资源受限与通道容量受限条件下，任务-资源能力错配如何改变作业时间结构与到达节奏，进而通过合并等待与瓶颈排队放大履约时间长尾？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RQ2（策略-源头）：如何构建基于订单画像的静态派工规则（任务拆分与资源指派），降低能力错配率，并减弱到达异步性？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RQ3（策略-过程）：在订单动态到达与随机扰动存在时，如何设计拥堵感知的滚动放行与分批控制，使交接区不发生持续积压，同时保证系统总体吞吐不出现断崖式下降？</w:t>
      </w:r>
    </w:p>
    <w:p>
      <w:pPr>
        <w:pStyle w:val="Heading2"/>
      </w:pPr>
      <w:r>
        <w:rPr>
          <w:rFonts w:eastAsia="宋体" w:ascii="Calibri" w:hAnsi="Calibri"/>
        </w:rPr>
        <w:t>1.4 研究目标：约束型优化（可靠性目标 + 吞吐硬约束）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主目标（Objective）：最小化高价值订单尾部履约时间 P95(D) 与违约率 VR。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硬约束（Hard Constraint）：系统滚动吞吐率（Rolling Throughput）（TR）或全局完工时间（Makespan）（MS）的恶化不得超过基线阈值 θ。即：TR ≥ (1−θ)·TR0 或 MS ≤ (1+θ)·MS0。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研究要解决的核心张力：在拥堵态下，小批次/优先放行能改善 P95 与交接区积压，但可能降低资源利用率、增加往返次数，导致吞吐受损。本文需要给出“可靠性改善—吞吐折损”的可控边界，并提供可执行的熔断机制（见 5.4）。</w:t>
      </w:r>
    </w:p>
    <w:p>
      <w:pPr>
        <w:pStyle w:val="Heading1"/>
      </w:pPr>
      <w:r>
        <w:rPr>
          <w:rFonts w:eastAsia="宋体" w:ascii="Calibri" w:hAnsi="Calibri"/>
        </w:rPr>
        <w:t>2 操作化定义与符号表（用于建模与复现）</w:t>
      </w:r>
    </w:p>
    <w:p>
      <w:pPr>
        <w:pStyle w:val="Heading2"/>
      </w:pPr>
      <w:r>
        <w:rPr>
          <w:rFonts w:eastAsia="宋体" w:ascii="Calibri" w:hAnsi="Calibri"/>
        </w:rPr>
        <w:t>2.1 空间结构与节点定义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交接区（I/O）：拣选路径的终点与订单合并/交接服务发生的位置。本文将“暂存区”和“交付平台”合并为同一节点集合，以避免口径分裂。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中央走廊（CC）：连接各拣选巷道与交接区的主通道，用于承载主要交通流。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拣选巷道（Aisle）：货架之间的窄通道，主要发生拣取作业与局部通行冲突。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坐标单位：米（m）。交接区坐标记为（x_IO, y_IO），当前数据量级约 x_IO≈200m，y_IO≈120m。</w:t>
      </w:r>
    </w:p>
    <w:p>
      <w:pPr>
        <w:pStyle w:val="Heading2"/>
      </w:pPr>
      <w:r>
        <w:rPr>
          <w:rFonts w:eastAsia="宋体" w:ascii="Calibri" w:hAnsi="Calibri"/>
        </w:rPr>
        <w:t>2.2 订单类型与任务拆分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整箱订单（Case / Bulk）：以整箱/大重量/大数量为主的订单或行项集合，通常更适配高载重设备。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拆零订单（Piece）：以零散件/多 SKU/高离散为主的订单或行项集合，通常更适配灵活的人工拣选。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拆分订单（Split order / Mixed）：同一订单同时包含整箱行项与拆零行项；需要拆分为子任务并行拣选，最终在交接区合并。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拆分规则：高位行项（Z≥3）必须进入 EPU 子任务（硬约束）；其余低位行项按数量阈值 Th_bulk 划分到 EPU/MPU（软约束）。</w:t>
      </w:r>
    </w:p>
    <w:p>
      <w:pPr>
        <w:pStyle w:val="Heading2"/>
      </w:pPr>
      <w:r>
        <w:rPr>
          <w:rFonts w:eastAsia="宋体" w:ascii="Calibri" w:hAnsi="Calibri"/>
        </w:rPr>
        <w:t>2.3 履约完成时间与合并等待（核心因变量口径）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仓内履约完成时间（Ready-to-Ship 完成时间）（D_i）：订单 i 的最后一个子任务到达交接区并完成合并服务的时间。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子任务到达时间（t_arr^{sub}）：子任务到达交接区 I/O 的时刻。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合并服务时间（T_merge）：交接区对订单进行核对、扫描、归并的处理时间。本文采用“与唯一 SKU 数线性相关”的近似（见 3.2）。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合并等待时间（Consolidation waiting time）（T_wait^cons）：拆分订单中先到子任务在交接区等待后到子任务的时间差。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占位释放口径：先到子任务从到达交接区开始占用交接区容量，直到合并服务完成释放（即‘等待也吃容量’）。</w:t>
      </w:r>
    </w:p>
    <w:p>
      <w:pPr>
        <w:pStyle w:val="Heading2"/>
      </w:pPr>
      <w:r>
        <w:rPr>
          <w:rFonts w:eastAsia="宋体" w:ascii="Calibri" w:hAnsi="Calibri"/>
        </w:rPr>
        <w:t>2.4 资源类型与能力差异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电动高位车（EPU）：具备高位可达能力与较大载重；体积更大、在窄巷道机动性较差，可能放大通行冲突。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人工拣选车（MPU）：机动性强、适合高离散小件；不具备高位可达能力，处理重载/高位任务效率低或不可行。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资源固定说明：研究期内设备与人力数量视为固定；在高密度巷道内加车/加人会触发拥堵效应，不能线性提升有效产出。</w:t>
      </w:r>
    </w:p>
    <w:p>
      <w:pPr>
        <w:pStyle w:val="Heading2"/>
      </w:pPr>
      <w:r>
        <w:rPr>
          <w:rFonts w:eastAsia="宋体" w:ascii="Calibri" w:hAnsi="Calibri"/>
        </w:rPr>
        <w:t>2.5 拥堵、队列与“超额占用”指标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交接区队列长度（Q_IO）：交接区等待服务或等待合并的订单/子任务数量。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超额占用量（C2_excess）：在给定容量 cap_IO 下，交接区在时间轴上‘超过容量部分’的累计面积，用于度量拥堵强度。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通行拥堵（CC 拥堵）：中央走廊/巷道内因会车与超车限制产生的旅行时间上升，作为到达异步性的放大因素。</w:t>
      </w:r>
    </w:p>
    <w:p>
      <w:pPr>
        <w:pStyle w:val="Heading2"/>
      </w:pPr>
      <w:r>
        <w:rPr>
          <w:rFonts w:eastAsia="宋体" w:ascii="Calibri" w:hAnsi="Calibri"/>
        </w:rPr>
        <w:t>2.6 关键解释变量：能力错配率、到达异步性、同步风险代理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能力错配率（Mismatch rate）（MR）：在给定‘推荐资源’规则下，实际指派与推荐资源不一致的任务占比。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到达异步性（Arrival time gap）（Δt_i）：拆分订单 i 的两个子任务到达交接区的时间差 |t_arr^{bulk} − t_arr^{piece}|。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同步风险代理（Synchronization risk proxy）（R_sync）：用于滚动放行排序的预测指标，选用基于预计到达时间差的代理 A（即用预计作业时间差估计 Δt）。</w:t>
      </w:r>
    </w:p>
    <w:p>
      <w:pPr>
        <w:pStyle w:val="Heading2"/>
      </w:pPr>
      <w:r>
        <w:rPr>
          <w:rFonts w:eastAsia="宋体" w:ascii="Calibri" w:hAnsi="Calibri"/>
        </w:rPr>
        <w:t>2.7 拥堵状态与吞吐健康度（用于第5章控制）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拥堵状态（S_cong）：基于交接区拥堵指标（如 Q_IO 或 C2_excess）的分位数阈值判定；采用历史 P80 作为触发线（方案 A）。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滚动吞吐率（TR）：在滑动窗口 W 内完成 Ready-to-Ship 的订单数（或行项数）除以窗口长度得到的速率。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基线吞吐率（TR0）：基线策略（如 FCFS + 常规批次 K_normal）下的稳定吞吐参考值。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吞吐健康度（H_TR）：若 TR ≥ (1−θ)·TR0 视为健康，否则触发吞吐红线。</w:t>
      </w:r>
    </w:p>
    <w:p>
      <w:pPr>
        <w:pStyle w:val="Heading2"/>
      </w:pPr>
      <w:r>
        <w:rPr>
          <w:rFonts w:eastAsia="宋体" w:ascii="Calibri" w:hAnsi="Calibri"/>
        </w:rPr>
        <w:t>2.8 符号表（原本含义（符号））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含义（符号）</w:t>
            </w:r>
          </w:p>
        </w:tc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单位/类型</w:t>
            </w:r>
          </w:p>
        </w:tc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出现章节</w:t>
            </w:r>
          </w:p>
        </w:tc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仓内履约完成时间（D_i）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小时/分钟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3–6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因变量；计算 P95 与违约率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交接区坐标（x_IO, y_IO）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2,3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定义终点；计算行走距离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交接区队列长度（Q_IO）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3,5,6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拥堵状态判定；机制与控制变量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超额占用量（C2_excess）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数量×时间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3,5,6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交接区拥堵强度；解释长尾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能力错配率（MR）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[0,1]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3,4,6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解释变量；验证‘错配→异步’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到达时间差（Δt_i）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3,5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刻画拆分订单异步；解释合并等待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合并等待时间（T_wait^cons）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3,5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反映‘先到占位等待’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合并服务时间（T_merge）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交接区服务时间；随 SKU 数变化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拥堵状态（S_cong）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{0, 1}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滚动控制触发器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同步风险代理（R_sync）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时间/分数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放行排序；延后高风险拆分订单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滚动吞吐率（TR）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订单/小时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吞吐健康度监测探针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吞吐健康度（H_TR）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{0, 1}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熔断机制触发器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批次大小（K）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订单/批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控制变量；拥堵时缩减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吞吐折损阈值（θ）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[0,1]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1,5,6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硬约束；限制整体效率损失</w:t>
            </w:r>
          </w:p>
        </w:tc>
      </w:tr>
    </w:tbl>
    <w:p>
      <w:pPr>
        <w:pStyle w:val="Heading1"/>
      </w:pPr>
      <w:r>
        <w:rPr>
          <w:rFonts w:eastAsia="宋体" w:ascii="Calibri" w:hAnsi="Calibri"/>
        </w:rPr>
        <w:t>3 研究框架逻辑图（全局）</w:t>
      </w:r>
    </w:p>
    <w:p>
      <w:pPr>
        <w:spacing w:line="276" w:lineRule="auto"/>
      </w:pPr>
      <w:r>
        <w:rPr>
          <w:rFonts w:eastAsia="Consolas" w:ascii="Calibri" w:hAnsi="Calibri"/>
        </w:rPr>
        <w:t>【全局逻辑链】</w:t>
        <w:br/>
        <w:t>订单类型/订单画像  +  异质资源(固定)</w:t>
        <w:br/>
        <w:t xml:space="preserve">          │</w:t>
        <w:br/>
        <w:t xml:space="preserve">          ├─(粗放派工)→ 能力错配（MR）</w:t>
        <w:br/>
        <w:t xml:space="preserve">          │                 │</w:t>
        <w:br/>
        <w:t xml:space="preserve">          │                 ├→ 作业时间结构差异/到达节奏差异</w:t>
        <w:br/>
        <w:t xml:space="preserve">          │                 │          │</w:t>
        <w:br/>
        <w:t xml:space="preserve">          │                 │          ├→ 到达异步性（Δt）</w:t>
        <w:br/>
        <w:t xml:space="preserve">          │                 │          │          │</w:t>
        <w:br/>
        <w:t xml:space="preserve">          │                 │          │          ├→ 合并等待（T_wait^cons）吃交接区容量</w:t>
        <w:br/>
        <w:t xml:space="preserve">          │                 │          │          │</w:t>
        <w:br/>
        <w:t xml:space="preserve">          │                 │          │          └→ 交接区排队/超额占用（Q_IO / C2_excess）</w:t>
        <w:br/>
        <w:t xml:space="preserve">          │                 │          │</w:t>
        <w:br/>
        <w:t xml:space="preserve">          │                 │          └→ 通行拥堵（CC 旅行时间上升）放大 Δt</w:t>
        <w:br/>
        <w:t xml:space="preserve">          │                 │</w:t>
        <w:br/>
        <w:t xml:space="preserve">          │                 └→ 履约长尾与违约率（VIP P95(D), VR）失控</w:t>
        <w:br/>
        <w:t xml:space="preserve">          │</w:t>
        <w:br/>
        <w:t xml:space="preserve">          └─(本文策略)</w:t>
        <w:br/>
        <w:t xml:space="preserve">               模型2：静态派工/拆分规则 → 降低 MR、减弱 Δt</w:t>
        <w:br/>
        <w:t xml:space="preserve">               模型3：滚动放行+分批(K) → 控制 Q_IO/C2_excess</w:t>
        <w:br/>
        <w:t xml:space="preserve">                      + 吞吐硬约束(θ) + 熔断机制 → 防止 TR 断崖下降</w:t>
        <w:br/>
      </w:r>
    </w:p>
    <w:p>
      <w:pPr>
        <w:pStyle w:val="Heading1"/>
      </w:pPr>
      <w:r>
        <w:rPr>
          <w:rFonts w:eastAsia="宋体" w:ascii="Calibri" w:hAnsi="Calibri"/>
        </w:rPr>
        <w:t>4 论文章节框架与每章需要完成的工作（含公式/概念放置位置）</w:t>
      </w:r>
    </w:p>
    <w:p>
      <w:pPr>
        <w:pStyle w:val="Heading2"/>
      </w:pPr>
      <w:r>
        <w:rPr>
          <w:rFonts w:eastAsia="宋体" w:ascii="Calibri" w:hAnsi="Calibri"/>
        </w:rPr>
        <w:t>第1章 绪论：问题提出、研究目标与技术路线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目标：把问题从“提升效率”收敛为“产能约束下的履约可靠性控制”。明确因变量 D_i 与 SLA 口径，并提出‘可靠性目标 + 吞吐硬约束 θ’的研究目标。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行业现象（高峰期 VIP 超时）</w:t>
        <w:br/>
        <w:t xml:space="preserve">      ↓</w:t>
        <w:br/>
        <w:t>受限系统（资源固定 + 通道容量有限）</w:t>
        <w:br/>
        <w:t xml:space="preserve">      ↓</w:t>
        <w:br/>
        <w:t>问题聚焦：错配 + 合并等待 → 交接区拥堵 → P95/违约失控</w:t>
        <w:br/>
        <w:t xml:space="preserve">      ↓</w:t>
        <w:br/>
        <w:t>研究目标：min P95/VR  s.t.  TR/ MS 不劣化超过 θ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本章必须明确写出的概念/公式：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（1）仓内履约完成时间（D_i）；（2）P95(D)、违约率 VR；（3）吞吐/完工时间硬约束：TR ≥ (1−θ)TR0 或 MS ≤ (1+θ)MS0；（4）三条研究问题 RQ1–RQ3。</w:t>
      </w:r>
    </w:p>
    <w:p>
      <w:pPr>
        <w:pStyle w:val="Heading2"/>
      </w:pPr>
      <w:r>
        <w:rPr>
          <w:rFonts w:eastAsia="宋体" w:ascii="Calibri" w:hAnsi="Calibri"/>
        </w:rPr>
        <w:t>第2章 系统描述与数据处理：布局、订单、资源与时间模型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目标：把仿真系统的空间结构、订单数据口径、资源与时间参数完全操作化，保证复现。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数据(订单/库位/布局) → 订单画像/类型划分 → 网络建模(节点-边) → 时间模型(行走+拣取+合并) → DES 输入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本章需要完成：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2.1 布局建模：节点（交接区 I/O、中央走廊 CC、巷道 Aisle）与坐标单位 m；明确 I/O 坐标（x_IO, y_IO）。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2.2 订单数据：从 Storage_Location.csv 等字段得到货位坐标、层级（Z）、SKU；从订单数据得到行项、数量、唯一 SKU 数。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2.3 订单类型（Case/Piece/Split）规则与拆分规则（硬约束 Z≥3 + 软约束 Th_bulk）。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2.4 时间模型：行走时间=距离/速度；拣取时间=每行项固定时间 + 任务固定 setup；合并服务时间 T_merge = T_base + α·S_unique。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2.5 资源与容量：EPU/MPU 数量固定；CC 容量 cap_CC=2；巷道容量 cap_Aisle=1；交接区容量 cap_IO=1（或按数据设定）。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2.6 背景扰动流（BGFlow）：作为低优先级补货/退货任务流，同时占用 CC 与 I/O（占用比例 5%/10%/20% 做敏感性）。</w:t>
      </w:r>
    </w:p>
    <w:p>
      <w:pPr>
        <w:pStyle w:val="Heading2"/>
      </w:pPr>
      <w:r>
        <w:rPr>
          <w:rFonts w:eastAsia="宋体" w:ascii="Calibri" w:hAnsi="Calibri"/>
        </w:rPr>
        <w:t>第3章 机理验证：错配—异步—合并等待—拥堵—长尾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目标：用数据/仿真把因果链补齐：能力错配（MR）→作业时间差→到达异步（Δt）→合并等待占位（T_wait^cons）→交接区排队/超额占用（Q_IO/C2_excess）→VIP P95(D) 与 VR。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能力错配（MR） → 作业时间差/旅行时间差</w:t>
        <w:br/>
        <w:t xml:space="preserve">                    ↓</w:t>
        <w:br/>
        <w:t xml:space="preserve">             到达异步（Δt）</w:t>
        <w:br/>
        <w:t xml:space="preserve">                    ↓</w:t>
        <w:br/>
        <w:t xml:space="preserve">         合并等待占位（T_wait^cons）</w:t>
        <w:br/>
        <w:t xml:space="preserve">                    ↓</w:t>
        <w:br/>
        <w:t xml:space="preserve">  交接区拥堵（Q_IO / C2_excess） + 通行拥堵放大</w:t>
        <w:br/>
        <w:t xml:space="preserve">                    ↓</w:t>
        <w:br/>
        <w:t xml:space="preserve">     VIP 长尾（P95(D)）与违约率（VR）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本章需要完成（建议最少 6 张图）：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3.1 基线 DES：FCFS + 固定批次 + 基线路径（S-shape）下，输出 D 分布与 VIP P95/VR。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3.2 错配定义与测量：给出推荐资源规则，计算能力错配率（MR）；区分两类错配：‘高能低用’（EPU 拣离散小件）与‘低能高用’（MPU 承担重载/高位）。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3.3 异步性测量：对拆分订单输出 Δt 分布直方图；给出 MR 与 Δt 的散点图/回归。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3.4 合并等待与占位：计算 T_wait^cons；明确占位释放口径：先到即占位，合并完成释放。输出交接区占用时间序列。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3.5 拥堵指标：Q_IO 与 C2_excess 的时间序列；展示拥堵峰值领先/同步 VIP 违约的证据。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3.6 三类订单都要交代：Case/Piece 也可能因错配导致通行拥堵与交接区排队；拆分订单额外叠加‘合并等待’机制，是长尾的主要来源。输出三类订单 D 的箱线图或分布对比。</w:t>
      </w:r>
    </w:p>
    <w:p>
      <w:pPr>
        <w:pStyle w:val="Heading2"/>
      </w:pPr>
      <w:r>
        <w:rPr>
          <w:rFonts w:eastAsia="宋体" w:ascii="Calibri" w:hAnsi="Calibri"/>
        </w:rPr>
        <w:t>第4章 静态派工与能力匹配（模型2）：降低错配率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定位：本章只做派工/拆分/优先级规则设计与验证。路径不作为优化对象，只作为计算行走时间的标准模块。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订单画像/类型 → 规则表(拆分+资源指派+优先级) → 降低 MR → 减少 Δt 与拥堵 → 改善 P95/VR（在同一路径策略下）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本章需要完成：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4.1 规则表输出（决策矩阵）：输入=（订单类型、是否含高位Z、数量、离散度、VIP标记）；输出=（资源类型 EPU/MPU、是否拆分、优先级）。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4.2 基线对照：与 FCFS/随机指派对比，报告 MR 降幅。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4.3 机制对照：报告 Δt、T_wait^cons、Q_IO/C2_excess 的变化，证明‘减少错配→减少异步/拥堵’。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4.4 绩效：报告 VIP P95(D)、VR；同时报告系统吞吐/完工时间，证明没有明显吞吐退化或在可接受范围内。</w:t>
      </w:r>
    </w:p>
    <w:p>
      <w:pPr>
        <w:pStyle w:val="Heading2"/>
      </w:pPr>
      <w:r>
        <w:rPr>
          <w:rFonts w:eastAsia="宋体" w:ascii="Calibri" w:hAnsi="Calibri"/>
        </w:rPr>
        <w:t>第5章 滚动放行与分批控制（模型3）：拥堵感知 + 吞吐硬约束 + 熔断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定位：本章解决动态到达与瞬时拥堵；核心贡献在‘滚动时域规则’（拥堵触发、批次 K 调整、排序规则），并用吞吐硬约束与熔断机制封堵“顾此失彼”的质疑。GA-ALNS 仅作为路径优化对照/上界工具，不作为贡献。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状态探测：拥堵状态（S_cong） + 吞吐健康度（H_TR）</w:t>
        <w:br/>
        <w:t xml:space="preserve">      ↓</w:t>
        <w:br/>
        <w:t>二维状态机 → 动作：K 调整 + 放行排序（含 R_sync、VIP） + 熔断恢复吞吐</w:t>
        <w:br/>
        <w:t xml:space="preserve">      ↓</w:t>
        <w:br/>
        <w:t>控制交接区拥堵（Q_IO/C2_excess）并保证 TR 不跌破底线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本章需要完成：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5.1 滚动时域设置：重规划频率、滚动窗口长度 W、冻结区间（正在执行任务不重排）。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5.2 拥堵触发：S_cong 采用历史 P80 阈值；拥堵时批次缩小（K_cong &lt; K_normal）。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5.3 排序规则：拥堵时延后同步风险代理高（R_sync 高）的拆分订单；VIP 订单优先放行（可设交接区容量预留）。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5.4 吞吐硬约束与熔断机制：当拥堵且吞吐触碰红线时，暂停 P95 保护动作，恢复大批次并优先放行结构简单订单，以拉升 TR（见 5.4.2 状态机与伪代码）。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5.5 路径模块：默认仍用 S-shape 作为执行层路径；GA-ALNS 在本章作为对照（更优路径下的性能上界）用于稳健性说明。</w:t>
      </w:r>
    </w:p>
    <w:p>
      <w:pPr>
        <w:pStyle w:val="Heading2"/>
      </w:pPr>
      <w:r>
        <w:rPr>
          <w:rFonts w:eastAsia="宋体" w:ascii="Calibri" w:hAnsi="Calibri"/>
        </w:rPr>
        <w:t>第6章 实验设计、结果与稳健性检验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目标：通过多组实验展示：机制成立、策略有效、并满足吞吐硬约束。给出可复现的参数表、对照组与消融实验。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实验因素(需求强度/扰动流/容量/参数敏感性)</w:t>
        <w:br/>
        <w:t xml:space="preserve">      ↓</w:t>
        <w:br/>
        <w:t>对照组(基线/仅模型2/模型2+模型3/含熔断/含GA-ALNS)</w:t>
        <w:br/>
        <w:t xml:space="preserve">      ↓</w:t>
        <w:br/>
        <w:t>指标输出(P95, VR, Q_IO, C2_excess, TR, MS, 距离/往返)</w:t>
        <w:br/>
        <w:t xml:space="preserve">      ↓</w:t>
        <w:br/>
        <w:t>结论：可靠性改善 + 吞吐折损 ≤ θ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本章需要完成：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6.1 实验因素：订单到达强度（低/中/高），扰动流占用比例（5%/10%/20%），cap_IO、巷道容量、速度±20%、交接区半径（如 3m/5m/8m）敏感性。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6.2 对照组：基线（FCFS+K_normal+S-shape）；模型2；模型2+模型3（无熔断）；模型2+模型3（含熔断）；在上述基础上引入 GA-ALNS 的对照。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6.3 核心指标：VIP P95(D)、VIP 违约率 VR、整体 P95、Q_IO、C2_excess、滚动吞吐率 TR、完工时间 MS、平均行走距离/总往返次数。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6.4 必须给出的“约束验证图”：吞吐折损率（1−TR/TR0）与 P95 改善的关系图；证明折损不超过 θ。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6.5 消融：去掉 R_sync 排序/去掉 K 调整/去掉熔断，分别观察 P95 与 TR 的变化。</w:t>
      </w:r>
    </w:p>
    <w:p>
      <w:pPr>
        <w:pStyle w:val="Heading2"/>
      </w:pPr>
      <w:r>
        <w:rPr>
          <w:rFonts w:eastAsia="宋体" w:ascii="Calibri" w:hAnsi="Calibri"/>
        </w:rPr>
        <w:t>第7章 结论、管理含义与局限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目标：用运营语言总结可执行规则，并明确局限（不含末端配送、不做退货优化等）与未来工作。</w:t>
      </w:r>
    </w:p>
    <w:p>
      <w:pPr>
        <w:spacing w:line="276" w:lineRule="auto"/>
      </w:pPr>
      <w:r>
        <w:rPr>
          <w:rFonts w:eastAsia="Consolas" w:ascii="Calibri" w:hAnsi="Calibri"/>
        </w:rPr>
        <w:t>【本章小逻辑图】</w:t>
        <w:br/>
        <w:t>机理结论（错配→异步→合并等待→拥堵→长尾）</w:t>
        <w:br/>
        <w:t xml:space="preserve">      ↓</w:t>
        <w:br/>
        <w:t>策略结论（模型2规则表 + 模型3状态机）</w:t>
        <w:br/>
        <w:t xml:space="preserve">      ↓</w:t>
        <w:br/>
        <w:t>管理含义（怎么设阈值、什么时候缩批、什么时候熔断）</w:t>
        <w:br/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本章需要完成：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7.1 结论：给出主要发现与适用条件（资源固定、cap_Aisle=1 等）。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7.2 管理建议：输出一页“派工决策矩阵”与一页“滚动控制状态机”。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7.3 局限：不建模末端配送；退货仅作为背景扰动流；路径优化不是贡献点。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7.4 展望：可扩展到联合车辆发车窗口/逆向物流联合调度等。</w:t>
      </w:r>
    </w:p>
    <w:p>
      <w:pPr>
        <w:pStyle w:val="Heading3"/>
      </w:pPr>
      <w:r>
        <w:rPr>
          <w:rFonts w:eastAsia="宋体" w:ascii="Calibri" w:hAnsi="Calibri"/>
        </w:rPr>
        <w:t>5.4.2 熔断状态机（拥堵×吞吐健康）与动作定义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状态变量：拥堵状态（S_cong）与吞吐健康度（H_TR）。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拥堵状态（S_cong）</w:t>
            </w:r>
          </w:p>
        </w:tc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吞吐健康度（H_TR）</w:t>
            </w:r>
          </w:p>
        </w:tc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系统状态</w:t>
            </w:r>
          </w:p>
        </w:tc>
        <w:tc>
          <w:tcPr>
            <w:tcW w:type="dxa" w:w="2160"/>
          </w:tcPr>
          <w:p>
            <w:r>
              <w:rPr>
                <w:rFonts w:eastAsia="黑体" w:ascii="Calibri" w:hAnsi="Calibri"/>
                <w:b/>
              </w:rPr>
              <w:t>动作（K 与放行规则）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0（正常）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1（健康）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常态运行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K=K_normal；常规排序（FCFS/常规优先级）；允许拆分订单正常释放。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1（拥堵）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1（健康）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削峰干预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K=K_cong（缩小）；VIP 优先；延后 R_sync 高的拆分订单；必要时交接区容量预留给 VIP。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1（拥堵）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0（触碰红线）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系统熔断</w:t>
            </w:r>
          </w:p>
        </w:tc>
        <w:tc>
          <w:tcPr>
            <w:tcW w:type="dxa" w:w="2160"/>
          </w:tcPr>
          <w:p>
            <w:r>
              <w:rPr>
                <w:rFonts w:eastAsia="宋体" w:ascii="Calibri" w:hAnsi="Calibri"/>
              </w:rPr>
              <w:t>强制 K=K_normal（恢复大批次）；暂停 VIP 抢占与延后规则；优先放行纯 Case/纯 Piece（结构简单、无需合并）以快速拉升 TR。</w:t>
            </w:r>
          </w:p>
        </w:tc>
      </w:tr>
    </w:tbl>
    <w:p>
      <w:pPr>
        <w:spacing w:after="120" w:line="300" w:lineRule="auto"/>
      </w:pPr>
      <w:r>
        <w:rPr>
          <w:rFonts w:eastAsia="宋体" w:ascii="Calibri" w:hAnsi="Calibri"/>
          <w:b w:val="0"/>
        </w:rPr>
        <w:t>注：熔断不是“优化失败”，而是把‘可靠性策略’限制在吞吐可承受范围内，保证策略在工程上可用。</w:t>
      </w:r>
    </w:p>
    <w:p>
      <w:pPr>
        <w:pStyle w:val="Heading3"/>
      </w:pPr>
      <w:r>
        <w:rPr>
          <w:rFonts w:eastAsia="宋体" w:ascii="Calibri" w:hAnsi="Calibri"/>
        </w:rPr>
        <w:t>5.4.3 滚动放行伪代码（与仿真对接口径）</w:t>
      </w:r>
    </w:p>
    <w:p>
      <w:pPr>
        <w:spacing w:line="252" w:lineRule="auto"/>
      </w:pPr>
      <w:r>
        <w:rPr>
          <w:rFonts w:eastAsia="Consolas" w:ascii="Calibri" w:hAnsi="Calibri"/>
        </w:rPr>
        <w:t>def rolling_release(release_pool, state, params):</w:t>
        <w:br/>
        <w:t xml:space="preserve">    # 1) 探测状态</w:t>
        <w:br/>
        <w:t xml:space="preserve">    S_cong = (state.Q_IO &gt;= params.Q_IO_P80)  # 拥堵状态（S_cong）</w:t>
        <w:br/>
        <w:t xml:space="preserve">    H_TR  = (state.TR &gt;= (1-params.theta)*params.TR0)  # 吞吐健康度（H_TR）</w:t>
        <w:br/>
        <w:br/>
        <w:t xml:space="preserve">    # 2) 选择动作（状态机）</w:t>
        <w:br/>
        <w:t xml:space="preserve">    if not S_cong:</w:t>
        <w:br/>
        <w:t xml:space="preserve">        K = params.K_normal</w:t>
        <w:br/>
        <w:t xml:space="preserve">        rule = "standard"</w:t>
        <w:br/>
        <w:t xml:space="preserve">    elif S_cong and H_TR:</w:t>
        <w:br/>
        <w:t xml:space="preserve">        K = params.K_cong</w:t>
        <w:br/>
        <w:t xml:space="preserve">        rule = "p95_protection"   # VIP 优先 + 延后高 R_sync 拆分订单</w:t>
        <w:br/>
        <w:t xml:space="preserve">    else:  # S_cong and not H_TR</w:t>
        <w:br/>
        <w:t xml:space="preserve">        K = params.K_normal</w:t>
        <w:br/>
        <w:t xml:space="preserve">        rule = "throughput_recovery"  # 熔断：优先纯 Case/Piece，暂停抢占</w:t>
        <w:br/>
        <w:br/>
        <w:t xml:space="preserve">    # 3) 排序与组批</w:t>
        <w:br/>
        <w:t xml:space="preserve">    sorted_orders = sort_orders(release_pool, rule, state, params)</w:t>
        <w:br/>
        <w:t xml:space="preserve">    batches = form_batches(sorted_orders, K)</w:t>
        <w:br/>
        <w:t xml:space="preserve">    return batches</w:t>
        <w:br/>
      </w:r>
    </w:p>
    <w:p>
      <w:pPr>
        <w:pStyle w:val="Heading2"/>
      </w:pPr>
      <w:r>
        <w:rPr>
          <w:rFonts w:eastAsia="宋体" w:ascii="Calibri" w:hAnsi="Calibri"/>
        </w:rPr>
        <w:t>2.9 基线路径策略（S-shape）在本文中的位置与意义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S-shape 路径策略：经典拣选路径策略之一，用于在平行巷道仓库中生成可复现的行走路线。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本文使用方式：在第3–4章作为“固定的行走时间计算器”，用于保证对照公平（不把路径优化混入派工贡献）；在第5章再引入 GA-ALNS 作为更优路径对照/上界，用于稳健性说明。</w:t>
      </w:r>
    </w:p>
    <w:p>
      <w:pPr>
        <w:pStyle w:val="Heading1"/>
      </w:pPr>
      <w:r>
        <w:rPr>
          <w:rFonts w:eastAsia="宋体" w:ascii="Calibri" w:hAnsi="Calibri"/>
        </w:rPr>
        <w:t>5 Trae 仿真实施清单（输入/产出/代码模块/对应章节）</w:t>
      </w:r>
    </w:p>
    <w:p>
      <w:pPr>
        <w:pStyle w:val="Heading2"/>
      </w:pPr>
      <w:r>
        <w:rPr>
          <w:rFonts w:eastAsia="宋体" w:ascii="Calibri" w:hAnsi="Calibri"/>
        </w:rPr>
        <w:t>5.1 数据输入与预处理（代码）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输入：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（a）库位文件（如 Storage_Location.csv）：字段至少包含 SKU、库位坐标（x,y）、层级（Z）。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（b）订单文件：字段至少包含 Order_ID、SKU、Quantity、到达时间（arrival time）、VIP 标记（可合成）。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（c）布局/通道信息：用于定义 CC、巷道、交接区坐标。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产出：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（1）订单画像表：每单的唯一 SKU 数、总件数、离散度、是否含高位、订单类型（Case/Piece/Split）。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（2）任务拆分表：拆分订单的子任务清单（子任务-行项映射）。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论文位置与作用：第2章（数据与模型口径），为第3–6章仿真提供输入。</w:t>
      </w:r>
    </w:p>
    <w:p>
      <w:pPr>
        <w:pStyle w:val="Heading2"/>
      </w:pPr>
      <w:r>
        <w:rPr>
          <w:rFonts w:eastAsia="宋体" w:ascii="Calibri" w:hAnsi="Calibri"/>
        </w:rPr>
        <w:t>5.2 空间网络与距离计算（代码）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输入：库位坐标、I/O 坐标（x_IO,y_IO）、通道结构（25 条平行通道等）。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产出：可查询的距离函数 dist(a,b) 或最短路长度；以及用于路径策略的巷道入口/出口节点。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论文位置与作用：第2章（系统建模）；用于计算行走时间，支撑第3–6章所有实验。</w:t>
      </w:r>
    </w:p>
    <w:p>
      <w:pPr>
        <w:pStyle w:val="Heading2"/>
      </w:pPr>
      <w:r>
        <w:rPr>
          <w:rFonts w:eastAsia="宋体" w:ascii="Calibri" w:hAnsi="Calibri"/>
        </w:rPr>
        <w:t>5.3 时间参数与服务过程（代码）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输入：速度参数（v_EPU, v_MPU），拣取时间参数（每行项拣取时间、setup 时间），合并服务参数（T_base, α）。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产出：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（1）子任务作业时间：T_task = travel_time + pick_time + setup_time。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（2）交接区服务时间：T_merge = T_base + α·S_unique。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论文位置与作用：第2章（时间模型）；第3章用于机制验证（Δt、等待、拥堵）。</w:t>
      </w:r>
    </w:p>
    <w:p>
      <w:pPr>
        <w:pStyle w:val="Heading2"/>
      </w:pPr>
      <w:r>
        <w:rPr>
          <w:rFonts w:eastAsia="宋体" w:ascii="Calibri" w:hAnsi="Calibri"/>
        </w:rPr>
        <w:t>5.4 路径模块（代码）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模块A：S-shape（固定基线），输入为一组库位，输出行走距离/路线。用于第3–4章。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模块B：GA-ALNS（对照/上界），输入同上，输出更优距离/路线。仅用于第5–6章对照，不作为创新点。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论文位置与作用：第2章说明路径口径；第3–6章用于计算行走时间，控制变量。</w:t>
      </w:r>
    </w:p>
    <w:p>
      <w:pPr>
        <w:pStyle w:val="Heading2"/>
      </w:pPr>
      <w:r>
        <w:rPr>
          <w:rFonts w:eastAsia="宋体" w:ascii="Calibri" w:hAnsi="Calibri"/>
        </w:rPr>
        <w:t>5.5 离散事件仿真（DES）引擎（代码核心）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关键事件：OrderArrive（订单到达）、TaskRelease（任务释放）、TaskStart/TaskEnd（子任务开始/结束）、ArriveIO（到达交接区）、MergeStart/MergeEnd（合并服务开始/结束）、OrderComplete（Ready-to-Ship 完成）。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资源约束：EPU/MPU 数量；CC 容量 cap_CC=2；巷道 cap_Aisle=1；交接区 cap_IO=1；以及 BGFlow 的占用逻辑。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占位口径：拆分订单先到子任务到达 I/O 后立即占用 I/O 容量直到 MergeEnd。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论文位置与作用：第3章展示机制与指标；第4–6章评估策略效果。</w:t>
      </w:r>
    </w:p>
    <w:p>
      <w:pPr>
        <w:pStyle w:val="Heading2"/>
      </w:pPr>
      <w:r>
        <w:rPr>
          <w:rFonts w:eastAsia="宋体" w:ascii="Calibri" w:hAnsi="Calibri"/>
        </w:rPr>
        <w:t>5.6 指标计算器（代码）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输出指标（每次实验都要自动生成）：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（1）因变量：D_i；VIP P95(D)；VIP 违约率 VR。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（2）机制指标：MR、Δt、T_wait^cons、Q_IO、C2_excess、CC 平均旅行时间。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（3）效率指标：滚动吞吐率 TR、吞吐折损率（1−TR/TR0）、完工时间 MS、总行走距离、总往返次数。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论文位置与作用：第3章机制图表；第6章实验结果与约束验证。</w:t>
      </w:r>
    </w:p>
    <w:p>
      <w:pPr>
        <w:pStyle w:val="Heading2"/>
      </w:pPr>
      <w:r>
        <w:rPr>
          <w:rFonts w:eastAsia="宋体" w:ascii="Calibri" w:hAnsi="Calibri"/>
        </w:rPr>
        <w:t>5.7 策略模块（代码）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模型2（第4章）：静态派工规则表。输入订单画像与任务，输出资源指派/拆分/优先级。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模型3（第5章）：滚动放行与分批。输入系统状态（Q_IO、TR 等）与待释放池，输出释放序列与批次大小 K。包含熔断状态机。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论文位置与作用：第4章展示规则与对照；第5章展示控制策略与熔断机制。</w:t>
      </w:r>
    </w:p>
    <w:p>
      <w:pPr>
        <w:pStyle w:val="Heading2"/>
      </w:pPr>
      <w:r>
        <w:rPr>
          <w:rFonts w:eastAsia="宋体" w:ascii="Calibri" w:hAnsi="Calibri"/>
        </w:rPr>
        <w:t>5.8 实验编排与批量跑数（代码）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输入：实验因素组合（需求强度、BGFlow、参数敏感性、阈值设置、θ 等）。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产出：每个场景的结果 CSV + 图表（分布图、箱线图、散点图、时间序列、约束验证图）。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论文位置与作用：第6章；所有图表可自动复现。</w:t>
      </w:r>
    </w:p>
    <w:p>
      <w:pPr>
        <w:pStyle w:val="Heading1"/>
      </w:pPr>
      <w:r>
        <w:rPr>
          <w:rFonts w:eastAsia="宋体" w:ascii="Calibri" w:hAnsi="Calibri"/>
        </w:rPr>
        <w:t>6 必做图表清单（按章节对齐）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第3章（机理）：(1) 三类订单 D 分布对比；(2) 拆分订单 Δt 直方图；(3) MR–Δt 散点图；(4) T_wait^cons 分布或箱线图；(5) Q_IO 或 C2_excess 时间序列；(6) 拥堵指标与 VIP 违约/ P95 的相关图。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第4章（派工）：(1) 规则表；(2) MR 对照柱状图；(3) Δt/T_wait^cons/Q_IO 对照；(4) VIP P95 与 VR 对照。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第5章（滚动+熔断）：(1) 状态机表；(2) K 随时间变化；(3) 熔断触发次数与持续时间；(4) P95 改善 vs 吞吐折损（约束验证图）。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第6章（实验）：(1) 多因素敏感性结果汇总；(2) θ 不同取值下的 Pareto 曲线（可靠性改善–吞吐折损）。</w:t>
      </w:r>
    </w:p>
    <w:p>
      <w:pPr>
        <w:pStyle w:val="Heading1"/>
      </w:pPr>
      <w:r>
        <w:rPr>
          <w:rFonts w:eastAsia="宋体" w:ascii="Calibri" w:hAnsi="Calibri"/>
        </w:rPr>
        <w:t>7 创新点与贡献边界（按审稿人视角表述）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贡献1（问题与指标）：将仓内出库问题从“平均效率”转为“履约可靠性”（VIP P95 与违约率），并给出可复现的 Ready-to-Ship 口径（到达交接区并完成合并服务）。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贡献2（机理补链）：显式验证‘能力错配（MR）→到达异步（Δt）→合并等待占位（T_wait^cons）→交接区拥堵（Q_IO/C2_excess）→长尾与违约’的链条，避免只讨论拆分订单现象而忽略错配根因。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贡献3（策略体系）：提出层级化策略——模型2用静态派工规则降低结构性错配；模型3用滚动放行与分批在动态环境下抑制交接区积压。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贡献4（工程可用性防御）：引入吞吐硬约束 θ 与熔断状态机，保证可靠性策略不会导致整体吞吐断崖式下降，给出可直接落地的控制逻辑。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非贡献项（明确写在论文里）：GA-ALNS 路径优化算法作为现有工具用于对照/上界；路径优化本身不作为创新点。</w:t>
      </w:r>
    </w:p>
    <w:p>
      <w:pPr>
        <w:pStyle w:val="Heading1"/>
      </w:pPr>
      <w:r>
        <w:rPr>
          <w:rFonts w:eastAsia="宋体" w:ascii="Calibri" w:hAnsi="Calibri"/>
        </w:rPr>
        <w:t>附录A 仓库布局示意（用于说明坐标与通道结构）</w:t>
      </w:r>
    </w:p>
    <w:p>
      <w:pPr>
        <w:spacing w:after="120" w:line="300" w:lineRule="auto"/>
      </w:pPr>
      <w:r>
        <w:rPr>
          <w:rFonts w:eastAsia="宋体" w:ascii="Calibri" w:hAnsi="Calibri"/>
          <w:b w:val="0"/>
        </w:rPr>
        <w:t>说明：该图用于描述通道数量、中央走廊位置与交接区位置。正式论文可替换为更清晰的矢量图或简化示意图。</w:t>
      </w:r>
    </w:p>
    <w:p>
      <w:r>
        <w:drawing>
          <wp:inline xmlns:a="http://schemas.openxmlformats.org/drawingml/2006/main" xmlns:pic="http://schemas.openxmlformats.org/drawingml/2006/picture">
            <wp:extent cx="5943600" cy="3989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27c493-55f4-4627-88de-7ed442801e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9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