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0EAE5">
      <w:pPr>
        <w:jc w:val="center"/>
        <w:rPr>
          <w:rFonts w:hint="eastAsia" w:eastAsia="黑体"/>
          <w:lang w:eastAsia="zh-CN"/>
        </w:rPr>
      </w:pPr>
      <w:r>
        <w:rPr>
          <w:rFonts w:hint="eastAsia" w:ascii="黑体" w:hAnsi="黑体" w:eastAsia="黑体"/>
          <w:b/>
          <w:sz w:val="36"/>
          <w:lang w:val="en-US" w:eastAsia="zh-CN"/>
        </w:rPr>
        <w:t>今日总结</w:t>
      </w:r>
    </w:p>
    <w:p w14:paraId="073F2F34"/>
    <w:p w14:paraId="6850F86F">
      <w:pPr>
        <w:pStyle w:val="3"/>
      </w:pPr>
      <w:r>
        <w:t>一、本轮已完成的优化动作</w:t>
      </w:r>
    </w:p>
    <w:p w14:paraId="486546EC">
      <w:pPr>
        <w:pStyle w:val="16"/>
      </w:pPr>
      <w:r>
        <w:t>训练数据策略：仅使用 cmcc_stable（CMCC 收敛后再等待稳定时段）参与训练，降低爬升段脏标签干扰。</w:t>
      </w:r>
    </w:p>
    <w:p w14:paraId="21E09F10">
      <w:pPr>
        <w:pStyle w:val="16"/>
      </w:pPr>
      <w:r>
        <w:t>模型结构升级：由浅层 3s 窗口网络升级为 DeepBiasNet（TCN + 扩窗）。</w:t>
      </w:r>
    </w:p>
    <w:p w14:paraId="1D7DEAB9">
      <w:pPr>
        <w:pStyle w:val="16"/>
      </w:pPr>
      <w:r>
        <w:t>训练流程升级：构建三阶段训练（稳态监督 -&gt; 平滑监督 -&gt; acc 稳态强化）。</w:t>
      </w:r>
    </w:p>
    <w:p w14:paraId="68585E5D">
      <w:pPr>
        <w:pStyle w:val="16"/>
      </w:pPr>
      <w:r>
        <w:t>推理后处理：仅在 stable 段输出 + EMA + 步长限幅，抑制滑窗抖动。</w:t>
      </w:r>
    </w:p>
    <w:p w14:paraId="3BD9D4FB">
      <w:pPr>
        <w:pStyle w:val="16"/>
      </w:pPr>
      <w:r>
        <w:t>配置优化（已完成代码修改，待完整回归）：默认窗口 200-&gt;300，提升陀螺损失权重，降低 stage1/stage2 学习率，减弱 stage3 的 acc 样本重复权重。</w:t>
      </w:r>
    </w:p>
    <w:p w14:paraId="4D50BE63">
      <w:pPr>
        <w:pStyle w:val="3"/>
      </w:pPr>
      <w:r>
        <w:rPr>
          <w:rFonts w:hint="eastAsia" w:eastAsia="宋体"/>
          <w:lang w:val="en-US" w:eastAsia="zh-CN"/>
        </w:rPr>
        <w:t>二</w:t>
      </w:r>
      <w:r>
        <w:t>、与上一版相比的关键变化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3D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E5A681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2160" w:type="dxa"/>
          </w:tcPr>
          <w:p w14:paraId="294577B1">
            <w:pPr>
              <w:spacing w:after="0" w:line="240" w:lineRule="auto"/>
            </w:pPr>
            <w:r>
              <w:rPr>
                <w:b/>
              </w:rPr>
              <w:t>上一版</w:t>
            </w:r>
          </w:p>
        </w:tc>
        <w:tc>
          <w:tcPr>
            <w:tcW w:w="2160" w:type="dxa"/>
          </w:tcPr>
          <w:p w14:paraId="3D5F364F">
            <w:pPr>
              <w:spacing w:after="0" w:line="240" w:lineRule="auto"/>
            </w:pPr>
            <w:r>
              <w:rPr>
                <w:b/>
              </w:rPr>
              <w:t>当前版本</w:t>
            </w:r>
          </w:p>
        </w:tc>
        <w:tc>
          <w:tcPr>
            <w:tcW w:w="2160" w:type="dxa"/>
          </w:tcPr>
          <w:p w14:paraId="2F833D67">
            <w:pPr>
              <w:spacing w:after="0" w:line="240" w:lineRule="auto"/>
            </w:pPr>
            <w:r>
              <w:rPr>
                <w:b/>
              </w:rPr>
              <w:t>变化判断</w:t>
            </w:r>
          </w:p>
        </w:tc>
      </w:tr>
      <w:tr w14:paraId="59B0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611552">
            <w:pPr>
              <w:spacing w:after="0" w:line="240" w:lineRule="auto"/>
            </w:pPr>
            <w:r>
              <w:t>主网络</w:t>
            </w:r>
          </w:p>
        </w:tc>
        <w:tc>
          <w:tcPr>
            <w:tcW w:w="2160" w:type="dxa"/>
          </w:tcPr>
          <w:p w14:paraId="114B762E">
            <w:pPr>
              <w:spacing w:after="0" w:line="240" w:lineRule="auto"/>
            </w:pPr>
            <w:r>
              <w:t>Shallow BiasNet（3s）</w:t>
            </w:r>
          </w:p>
        </w:tc>
        <w:tc>
          <w:tcPr>
            <w:tcW w:w="2160" w:type="dxa"/>
          </w:tcPr>
          <w:p w14:paraId="71488419">
            <w:pPr>
              <w:spacing w:after="0" w:line="240" w:lineRule="auto"/>
            </w:pPr>
            <w:r>
              <w:t>DeepBiasNet（20s，后续默认改 30s）</w:t>
            </w:r>
          </w:p>
        </w:tc>
        <w:tc>
          <w:tcPr>
            <w:tcW w:w="2160" w:type="dxa"/>
          </w:tcPr>
          <w:p w14:paraId="07955C53">
            <w:pPr>
              <w:spacing w:after="0" w:line="240" w:lineRule="auto"/>
            </w:pPr>
            <w:r>
              <w:t>时序建模能力增强</w:t>
            </w:r>
          </w:p>
        </w:tc>
      </w:tr>
      <w:tr w14:paraId="341B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66EDC">
            <w:pPr>
              <w:spacing w:after="0" w:line="240" w:lineRule="auto"/>
            </w:pPr>
            <w:r>
              <w:t>训练监督</w:t>
            </w:r>
          </w:p>
        </w:tc>
        <w:tc>
          <w:tcPr>
            <w:tcW w:w="2160" w:type="dxa"/>
          </w:tcPr>
          <w:p w14:paraId="32AA4EFC">
            <w:pPr>
              <w:spacing w:after="0" w:line="240" w:lineRule="auto"/>
            </w:pPr>
            <w:r>
              <w:t>瞬时标签为主</w:t>
            </w:r>
          </w:p>
        </w:tc>
        <w:tc>
          <w:tcPr>
            <w:tcW w:w="2160" w:type="dxa"/>
          </w:tcPr>
          <w:p w14:paraId="4E619A8F">
            <w:pPr>
              <w:spacing w:after="0" w:line="240" w:lineRule="auto"/>
            </w:pPr>
            <w:r>
              <w:t>三阶段监督 + 稳态约束</w:t>
            </w:r>
          </w:p>
        </w:tc>
        <w:tc>
          <w:tcPr>
            <w:tcW w:w="2160" w:type="dxa"/>
          </w:tcPr>
          <w:p w14:paraId="3CF98C3B">
            <w:pPr>
              <w:spacing w:after="0" w:line="240" w:lineRule="auto"/>
            </w:pPr>
            <w:r>
              <w:t>对稳态偏置更友好</w:t>
            </w:r>
          </w:p>
        </w:tc>
      </w:tr>
      <w:tr w14:paraId="0A7E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E8B299">
            <w:pPr>
              <w:spacing w:after="0" w:line="240" w:lineRule="auto"/>
            </w:pPr>
            <w:r>
              <w:t>推理输出</w:t>
            </w:r>
          </w:p>
        </w:tc>
        <w:tc>
          <w:tcPr>
            <w:tcW w:w="2160" w:type="dxa"/>
          </w:tcPr>
          <w:p w14:paraId="6699DDD8">
            <w:pPr>
              <w:spacing w:after="0" w:line="240" w:lineRule="auto"/>
            </w:pPr>
            <w:r>
              <w:t>全段输出</w:t>
            </w:r>
          </w:p>
        </w:tc>
        <w:tc>
          <w:tcPr>
            <w:tcW w:w="2160" w:type="dxa"/>
          </w:tcPr>
          <w:p w14:paraId="55BD7318">
            <w:pPr>
              <w:spacing w:after="0" w:line="240" w:lineRule="auto"/>
            </w:pPr>
            <w:r>
              <w:t>仅 stable 段有效输出 + 平滑</w:t>
            </w:r>
          </w:p>
        </w:tc>
        <w:tc>
          <w:tcPr>
            <w:tcW w:w="2160" w:type="dxa"/>
          </w:tcPr>
          <w:p w14:paraId="1BC832B5">
            <w:pPr>
              <w:spacing w:after="0" w:line="240" w:lineRule="auto"/>
            </w:pPr>
            <w:r>
              <w:t>结果稳定性提升</w:t>
            </w:r>
          </w:p>
        </w:tc>
      </w:tr>
      <w:tr w14:paraId="6DF7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3F445">
            <w:pPr>
              <w:spacing w:after="0" w:line="240" w:lineRule="auto"/>
            </w:pPr>
            <w:r>
              <w:t>优化重点</w:t>
            </w:r>
          </w:p>
        </w:tc>
        <w:tc>
          <w:tcPr>
            <w:tcW w:w="2160" w:type="dxa"/>
          </w:tcPr>
          <w:p w14:paraId="080E5D41">
            <w:pPr>
              <w:spacing w:after="0" w:line="240" w:lineRule="auto"/>
            </w:pPr>
            <w:r>
              <w:t>整体误差下降</w:t>
            </w:r>
          </w:p>
        </w:tc>
        <w:tc>
          <w:tcPr>
            <w:tcW w:w="2160" w:type="dxa"/>
          </w:tcPr>
          <w:p w14:paraId="31E81039">
            <w:pPr>
              <w:spacing w:after="0" w:line="240" w:lineRule="auto"/>
            </w:pPr>
            <w:r>
              <w:t>进一步攻克陀螺 X/Y 泛化</w:t>
            </w:r>
          </w:p>
        </w:tc>
        <w:tc>
          <w:tcPr>
            <w:tcW w:w="2160" w:type="dxa"/>
          </w:tcPr>
          <w:p w14:paraId="11596E33">
            <w:pPr>
              <w:spacing w:after="0" w:line="240" w:lineRule="auto"/>
            </w:pPr>
            <w:r>
              <w:t>目标更聚焦</w:t>
            </w:r>
          </w:p>
        </w:tc>
      </w:tr>
    </w:tbl>
    <w:p w14:paraId="1986A160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、核心结果（Data05 验证）</w:t>
      </w:r>
    </w:p>
    <w:p w14:paraId="47A826F4">
      <w:r>
        <w:t>1）零偏精度对比（cmcc_stable，MAE）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174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BA7306">
            <w:pPr>
              <w:spacing w:after="0" w:line="240" w:lineRule="auto"/>
            </w:pPr>
            <w:r>
              <w:rPr>
                <w:b/>
              </w:rPr>
              <w:t>通道</w:t>
            </w:r>
          </w:p>
        </w:tc>
        <w:tc>
          <w:tcPr>
            <w:tcW w:w="2160" w:type="dxa"/>
          </w:tcPr>
          <w:p w14:paraId="60F9473D">
            <w:pPr>
              <w:spacing w:after="0" w:line="240" w:lineRule="auto"/>
            </w:pPr>
            <w:r>
              <w:rPr>
                <w:b/>
              </w:rPr>
              <w:t>旧浅层 MAE</w:t>
            </w:r>
          </w:p>
        </w:tc>
        <w:tc>
          <w:tcPr>
            <w:tcW w:w="2160" w:type="dxa"/>
          </w:tcPr>
          <w:p w14:paraId="44189F4A">
            <w:pPr>
              <w:spacing w:after="0" w:line="240" w:lineRule="auto"/>
            </w:pPr>
            <w:r>
              <w:rPr>
                <w:b/>
              </w:rPr>
              <w:t>DeepTCN MAE</w:t>
            </w:r>
          </w:p>
        </w:tc>
        <w:tc>
          <w:tcPr>
            <w:tcW w:w="2160" w:type="dxa"/>
          </w:tcPr>
          <w:p w14:paraId="55462E47">
            <w:pPr>
              <w:spacing w:after="0" w:line="240" w:lineRule="auto"/>
            </w:pPr>
            <w:r>
              <w:rPr>
                <w:b/>
              </w:rPr>
              <w:t>变化</w:t>
            </w:r>
          </w:p>
        </w:tc>
      </w:tr>
      <w:tr w14:paraId="4567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F874EA">
            <w:pPr>
              <w:spacing w:after="0" w:line="240" w:lineRule="auto"/>
            </w:pPr>
            <w:r>
              <w:t>ba_x [g]</w:t>
            </w:r>
          </w:p>
        </w:tc>
        <w:tc>
          <w:tcPr>
            <w:tcW w:w="2160" w:type="dxa"/>
          </w:tcPr>
          <w:p w14:paraId="5E1886AB">
            <w:pPr>
              <w:spacing w:after="0" w:line="240" w:lineRule="auto"/>
            </w:pPr>
            <w:r>
              <w:t>0.0137</w:t>
            </w:r>
          </w:p>
        </w:tc>
        <w:tc>
          <w:tcPr>
            <w:tcW w:w="2160" w:type="dxa"/>
          </w:tcPr>
          <w:p w14:paraId="16375BA4">
            <w:pPr>
              <w:spacing w:after="0" w:line="240" w:lineRule="auto"/>
            </w:pPr>
            <w:r>
              <w:t>0.0142</w:t>
            </w:r>
          </w:p>
        </w:tc>
        <w:tc>
          <w:tcPr>
            <w:tcW w:w="2160" w:type="dxa"/>
          </w:tcPr>
          <w:p w14:paraId="145B00D6">
            <w:pPr>
              <w:spacing w:after="0" w:line="240" w:lineRule="auto"/>
            </w:pPr>
            <w:r>
              <w:t>基本持平</w:t>
            </w:r>
          </w:p>
        </w:tc>
      </w:tr>
      <w:tr w14:paraId="663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039323">
            <w:pPr>
              <w:spacing w:after="0" w:line="240" w:lineRule="auto"/>
            </w:pPr>
            <w:r>
              <w:t>ba_y [g]</w:t>
            </w:r>
          </w:p>
        </w:tc>
        <w:tc>
          <w:tcPr>
            <w:tcW w:w="2160" w:type="dxa"/>
          </w:tcPr>
          <w:p w14:paraId="14ABA73F">
            <w:pPr>
              <w:spacing w:after="0" w:line="240" w:lineRule="auto"/>
            </w:pPr>
            <w:r>
              <w:t>0.0216</w:t>
            </w:r>
          </w:p>
        </w:tc>
        <w:tc>
          <w:tcPr>
            <w:tcW w:w="2160" w:type="dxa"/>
          </w:tcPr>
          <w:p w14:paraId="38149760">
            <w:pPr>
              <w:spacing w:after="0" w:line="240" w:lineRule="auto"/>
            </w:pPr>
            <w:r>
              <w:t>0.0142</w:t>
            </w:r>
          </w:p>
        </w:tc>
        <w:tc>
          <w:tcPr>
            <w:tcW w:w="2160" w:type="dxa"/>
          </w:tcPr>
          <w:p w14:paraId="24C4AB94">
            <w:pPr>
              <w:spacing w:after="0" w:line="240" w:lineRule="auto"/>
            </w:pPr>
            <w:r>
              <w:t>下降约34%</w:t>
            </w:r>
          </w:p>
        </w:tc>
      </w:tr>
      <w:tr w14:paraId="3D95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08F1E7">
            <w:pPr>
              <w:spacing w:after="0" w:line="240" w:lineRule="auto"/>
            </w:pPr>
            <w:r>
              <w:t>ba_z [g]</w:t>
            </w:r>
          </w:p>
        </w:tc>
        <w:tc>
          <w:tcPr>
            <w:tcW w:w="2160" w:type="dxa"/>
          </w:tcPr>
          <w:p w14:paraId="0205FD8A">
            <w:pPr>
              <w:spacing w:after="0" w:line="240" w:lineRule="auto"/>
            </w:pPr>
            <w:r>
              <w:t>0.0290</w:t>
            </w:r>
          </w:p>
        </w:tc>
        <w:tc>
          <w:tcPr>
            <w:tcW w:w="2160" w:type="dxa"/>
          </w:tcPr>
          <w:p w14:paraId="475F82FF">
            <w:pPr>
              <w:spacing w:after="0" w:line="240" w:lineRule="auto"/>
            </w:pPr>
            <w:r>
              <w:t>0.0223</w:t>
            </w:r>
          </w:p>
        </w:tc>
        <w:tc>
          <w:tcPr>
            <w:tcW w:w="2160" w:type="dxa"/>
          </w:tcPr>
          <w:p w14:paraId="4B0FE927">
            <w:pPr>
              <w:spacing w:after="0" w:line="240" w:lineRule="auto"/>
            </w:pPr>
            <w:r>
              <w:t>下降约23%</w:t>
            </w:r>
          </w:p>
        </w:tc>
      </w:tr>
      <w:tr w14:paraId="3AC8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5491AC">
            <w:pPr>
              <w:spacing w:after="0" w:line="240" w:lineRule="auto"/>
            </w:pPr>
            <w:r>
              <w:t>bg_x [°/s]</w:t>
            </w:r>
          </w:p>
        </w:tc>
        <w:tc>
          <w:tcPr>
            <w:tcW w:w="2160" w:type="dxa"/>
          </w:tcPr>
          <w:p w14:paraId="0F023D28">
            <w:pPr>
              <w:spacing w:after="0" w:line="240" w:lineRule="auto"/>
            </w:pPr>
            <w:r>
              <w:t>0.0251</w:t>
            </w:r>
          </w:p>
        </w:tc>
        <w:tc>
          <w:tcPr>
            <w:tcW w:w="2160" w:type="dxa"/>
          </w:tcPr>
          <w:p w14:paraId="34845856">
            <w:pPr>
              <w:spacing w:after="0" w:line="240" w:lineRule="auto"/>
            </w:pPr>
            <w:r>
              <w:t>0.0676</w:t>
            </w:r>
          </w:p>
        </w:tc>
        <w:tc>
          <w:tcPr>
            <w:tcW w:w="2160" w:type="dxa"/>
          </w:tcPr>
          <w:p w14:paraId="180527B2">
            <w:pPr>
              <w:spacing w:after="0" w:line="240" w:lineRule="auto"/>
            </w:pPr>
            <w:r>
              <w:t>上升（待优化）</w:t>
            </w:r>
          </w:p>
        </w:tc>
      </w:tr>
      <w:tr w14:paraId="082E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458C28">
            <w:pPr>
              <w:spacing w:after="0" w:line="240" w:lineRule="auto"/>
            </w:pPr>
            <w:r>
              <w:t>bg_y [°/s]</w:t>
            </w:r>
          </w:p>
        </w:tc>
        <w:tc>
          <w:tcPr>
            <w:tcW w:w="2160" w:type="dxa"/>
          </w:tcPr>
          <w:p w14:paraId="19776C26">
            <w:pPr>
              <w:spacing w:after="0" w:line="240" w:lineRule="auto"/>
            </w:pPr>
            <w:r>
              <w:t>0.0494</w:t>
            </w:r>
          </w:p>
        </w:tc>
        <w:tc>
          <w:tcPr>
            <w:tcW w:w="2160" w:type="dxa"/>
          </w:tcPr>
          <w:p w14:paraId="55D10221">
            <w:pPr>
              <w:spacing w:after="0" w:line="240" w:lineRule="auto"/>
            </w:pPr>
            <w:r>
              <w:t>0.0606</w:t>
            </w:r>
          </w:p>
        </w:tc>
        <w:tc>
          <w:tcPr>
            <w:tcW w:w="2160" w:type="dxa"/>
          </w:tcPr>
          <w:p w14:paraId="2929D3D2">
            <w:pPr>
              <w:spacing w:after="0" w:line="240" w:lineRule="auto"/>
            </w:pPr>
            <w:r>
              <w:t>小幅上升（待优化）</w:t>
            </w:r>
          </w:p>
        </w:tc>
      </w:tr>
      <w:tr w14:paraId="73A2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075E1F">
            <w:pPr>
              <w:spacing w:after="0" w:line="240" w:lineRule="auto"/>
            </w:pPr>
            <w:r>
              <w:t>bg_z [°/s]</w:t>
            </w:r>
          </w:p>
        </w:tc>
        <w:tc>
          <w:tcPr>
            <w:tcW w:w="2160" w:type="dxa"/>
          </w:tcPr>
          <w:p w14:paraId="26858843">
            <w:pPr>
              <w:spacing w:after="0" w:line="240" w:lineRule="auto"/>
            </w:pPr>
            <w:r>
              <w:t>0.0274</w:t>
            </w:r>
          </w:p>
        </w:tc>
        <w:tc>
          <w:tcPr>
            <w:tcW w:w="2160" w:type="dxa"/>
          </w:tcPr>
          <w:p w14:paraId="161C8F0D">
            <w:pPr>
              <w:spacing w:after="0" w:line="240" w:lineRule="auto"/>
            </w:pPr>
            <w:r>
              <w:t>0.0161</w:t>
            </w:r>
          </w:p>
        </w:tc>
        <w:tc>
          <w:tcPr>
            <w:tcW w:w="2160" w:type="dxa"/>
          </w:tcPr>
          <w:p w14:paraId="0CFC0845">
            <w:pPr>
              <w:spacing w:after="0" w:line="240" w:lineRule="auto"/>
            </w:pPr>
            <w:r>
              <w:t>下降约41%</w:t>
            </w:r>
          </w:p>
        </w:tc>
      </w:tr>
    </w:tbl>
    <w:p w14:paraId="21DD3874">
      <w:r>
        <w:t>2）导航拒止场景结果（Data05 双段 GNSS 拒止）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01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C8B5F1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</w:tcPr>
          <w:p w14:paraId="7A904E20">
            <w:pPr>
              <w:spacing w:after="0" w:line="240" w:lineRule="auto"/>
            </w:pPr>
            <w:r>
              <w:rPr>
                <w:b/>
              </w:rPr>
              <w:t>DR 基线</w:t>
            </w:r>
          </w:p>
        </w:tc>
        <w:tc>
          <w:tcPr>
            <w:tcW w:w="2160" w:type="dxa"/>
          </w:tcPr>
          <w:p w14:paraId="07D4A4DB">
            <w:pPr>
              <w:spacing w:after="0" w:line="240" w:lineRule="auto"/>
            </w:pPr>
            <w:r>
              <w:rPr>
                <w:b/>
              </w:rPr>
              <w:t>BiasNet + EKF</w:t>
            </w:r>
          </w:p>
        </w:tc>
        <w:tc>
          <w:tcPr>
            <w:tcW w:w="2160" w:type="dxa"/>
          </w:tcPr>
          <w:p w14:paraId="0C4D267B">
            <w:pPr>
              <w:spacing w:after="0" w:line="240" w:lineRule="auto"/>
            </w:pPr>
            <w:r>
              <w:rPr>
                <w:b/>
              </w:rPr>
              <w:t>变化</w:t>
            </w:r>
          </w:p>
        </w:tc>
      </w:tr>
      <w:tr w14:paraId="3459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157BC1">
            <w:pPr>
              <w:spacing w:after="0" w:line="240" w:lineRule="auto"/>
            </w:pPr>
            <w:r>
              <w:t>RMSE (m)</w:t>
            </w:r>
          </w:p>
        </w:tc>
        <w:tc>
          <w:tcPr>
            <w:tcW w:w="2160" w:type="dxa"/>
          </w:tcPr>
          <w:p w14:paraId="35974DB4">
            <w:pPr>
              <w:spacing w:after="0" w:line="240" w:lineRule="auto"/>
            </w:pPr>
            <w:r>
              <w:t>16.2</w:t>
            </w:r>
          </w:p>
        </w:tc>
        <w:tc>
          <w:tcPr>
            <w:tcW w:w="2160" w:type="dxa"/>
          </w:tcPr>
          <w:p w14:paraId="6B493917">
            <w:pPr>
              <w:spacing w:after="0" w:line="240" w:lineRule="auto"/>
            </w:pPr>
            <w:r>
              <w:t>5.2</w:t>
            </w:r>
          </w:p>
        </w:tc>
        <w:tc>
          <w:tcPr>
            <w:tcW w:w="2160" w:type="dxa"/>
          </w:tcPr>
          <w:p w14:paraId="3732B880">
            <w:pPr>
              <w:spacing w:after="0" w:line="240" w:lineRule="auto"/>
            </w:pPr>
            <w:r>
              <w:t>下降约68%</w:t>
            </w:r>
          </w:p>
        </w:tc>
      </w:tr>
      <w:tr w14:paraId="12B91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3B99CA">
            <w:pPr>
              <w:spacing w:after="0" w:line="240" w:lineRule="auto"/>
            </w:pPr>
            <w:r>
              <w:t>拒止段最大误差 (m)</w:t>
            </w:r>
          </w:p>
        </w:tc>
        <w:tc>
          <w:tcPr>
            <w:tcW w:w="2160" w:type="dxa"/>
          </w:tcPr>
          <w:p w14:paraId="6A59B1E3">
            <w:pPr>
              <w:spacing w:after="0" w:line="240" w:lineRule="auto"/>
            </w:pPr>
            <w:r>
              <w:t>120.3</w:t>
            </w:r>
          </w:p>
        </w:tc>
        <w:tc>
          <w:tcPr>
            <w:tcW w:w="2160" w:type="dxa"/>
          </w:tcPr>
          <w:p w14:paraId="0F5D040B">
            <w:pPr>
              <w:spacing w:after="0" w:line="240" w:lineRule="auto"/>
            </w:pPr>
            <w:r>
              <w:t>15.7</w:t>
            </w:r>
          </w:p>
        </w:tc>
        <w:tc>
          <w:tcPr>
            <w:tcW w:w="2160" w:type="dxa"/>
          </w:tcPr>
          <w:p w14:paraId="45991763">
            <w:pPr>
              <w:spacing w:after="0" w:line="240" w:lineRule="auto"/>
            </w:pPr>
            <w:r>
              <w:t>下降约87%</w:t>
            </w:r>
          </w:p>
        </w:tc>
      </w:tr>
    </w:tbl>
    <w:p w14:paraId="2851DE97">
      <w:r>
        <w:t>结果解读：整体定位稳定性明显提升，但第二段拒止期间误差仍有抬升，航向状态在后段存在跳变现象。</w:t>
      </w:r>
    </w:p>
    <w:p w14:paraId="0F40787E">
      <w:r>
        <w:t>图1  Data05 零偏预测与 CMCC 真值对比</w:t>
      </w:r>
    </w:p>
    <w:p w14:paraId="71E4D968">
      <w:r>
        <w:drawing>
          <wp:inline distT="0" distB="0" distL="114300" distR="114300">
            <wp:extent cx="5759450" cy="411289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FE80">
      <w:r>
        <w:t>图2  Data05 双段 GNSS 拒止轨迹与误差对比</w:t>
      </w:r>
    </w:p>
    <w:p w14:paraId="37899C0D">
      <w:r>
        <w:drawing>
          <wp:inline distT="0" distB="0" distL="114300" distR="114300">
            <wp:extent cx="5759450" cy="4178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8B74">
      <w:pPr>
        <w:pStyle w:val="3"/>
      </w:pPr>
      <w:r>
        <w:rPr>
          <w:rFonts w:hint="eastAsia" w:eastAsia="宋体"/>
          <w:lang w:val="en-US" w:eastAsia="zh-CN"/>
        </w:rPr>
        <w:t>四</w:t>
      </w:r>
      <w:r>
        <w:t>、</w:t>
      </w:r>
      <w:r>
        <w:rPr>
          <w:rFonts w:hint="eastAsia" w:eastAsia="宋体"/>
          <w:lang w:val="en-US" w:eastAsia="zh-CN"/>
        </w:rPr>
        <w:t>明天</w:t>
      </w:r>
      <w:r>
        <w:t>优化</w:t>
      </w:r>
    </w:p>
    <w:p w14:paraId="52F495DF">
      <w:pPr>
        <w:pStyle w:val="16"/>
      </w:pPr>
      <w:r>
        <w:t>陀螺 X/Y 泛化偏弱：在验证段 MAE 相较旧版未改善，存在通道不均衡。</w:t>
      </w:r>
    </w:p>
    <w:p w14:paraId="1003892C">
      <w:pPr>
        <w:pStyle w:val="16"/>
      </w:pPr>
      <w:r>
        <w:t>拒止后段航向稳定性不足：存在 ±180° 跳变现象，需区分显示 wrap 与状态抖动。</w:t>
      </w:r>
    </w:p>
    <w:p w14:paraId="092390DD">
      <w:pPr>
        <w:pStyle w:val="16"/>
      </w:pPr>
      <w:r>
        <w:t>训练-推理链路一致性仍需闭环：需统一 DeepBiasNet 在评估与导航链路中的模型构建方式和后处理策略。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</w:tblGrid>
      <w:tr w14:paraId="4541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EA1317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4096D3F4">
            <w:pPr>
              <w:spacing w:after="0" w:line="240" w:lineRule="auto"/>
            </w:pPr>
            <w:r>
              <w:rPr>
                <w:b/>
              </w:rPr>
              <w:t>验收标准</w:t>
            </w:r>
          </w:p>
        </w:tc>
      </w:tr>
      <w:tr w14:paraId="6603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844E11">
            <w:pPr>
              <w:spacing w:after="0" w:line="240" w:lineRule="auto"/>
            </w:pPr>
            <w:r>
              <w:t>完成 6 组配置回归（窗口、损失权重、stage3策略）</w:t>
            </w:r>
          </w:p>
        </w:tc>
        <w:tc>
          <w:tcPr>
            <w:tcW w:w="2880" w:type="dxa"/>
          </w:tcPr>
          <w:p w14:paraId="4E88CA20">
            <w:pPr>
              <w:spacing w:after="0" w:line="240" w:lineRule="auto"/>
            </w:pPr>
            <w:r>
              <w:t>bg_x/bg_y MAE 至少下降 10%</w:t>
            </w:r>
          </w:p>
        </w:tc>
      </w:tr>
      <w:tr w14:paraId="117A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1757BD">
            <w:pPr>
              <w:spacing w:after="0" w:line="240" w:lineRule="auto"/>
            </w:pPr>
            <w:r>
              <w:t>补充分段诊断（两段拒止分别统计位置/航向）</w:t>
            </w:r>
          </w:p>
        </w:tc>
        <w:tc>
          <w:tcPr>
            <w:tcW w:w="2880" w:type="dxa"/>
          </w:tcPr>
          <w:p w14:paraId="5DD6D2A1">
            <w:pPr>
              <w:spacing w:after="0" w:line="240" w:lineRule="auto"/>
            </w:pPr>
            <w:r>
              <w:t>定位抬升根因可解释</w:t>
            </w:r>
          </w:p>
        </w:tc>
      </w:tr>
      <w:tr w14:paraId="52AC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8EEF4">
            <w:pPr>
              <w:spacing w:after="0" w:line="240" w:lineRule="auto"/>
            </w:pPr>
            <w:r>
              <w:t>新增城市道路场景复训 + 交叉验证</w:t>
            </w:r>
          </w:p>
        </w:tc>
        <w:tc>
          <w:tcPr>
            <w:tcW w:w="2880" w:type="dxa"/>
          </w:tcPr>
          <w:p w14:paraId="4A908707">
            <w:pPr>
              <w:spacing w:after="0" w:line="240" w:lineRule="auto"/>
            </w:pPr>
            <w:r>
              <w:t>训练域/测试域性能差收敛</w:t>
            </w:r>
          </w:p>
        </w:tc>
      </w:tr>
      <w:tr w14:paraId="2DD9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542AF1">
            <w:pPr>
              <w:spacing w:after="0" w:line="240" w:lineRule="auto"/>
            </w:pPr>
            <w:r>
              <w:t>接入 EKF 端到端评估流水线</w:t>
            </w:r>
          </w:p>
        </w:tc>
        <w:tc>
          <w:tcPr>
            <w:tcW w:w="2880" w:type="dxa"/>
          </w:tcPr>
          <w:p w14:paraId="631ACFF2">
            <w:pPr>
              <w:spacing w:after="0" w:line="240" w:lineRule="auto"/>
            </w:pPr>
            <w:r>
              <w:t>形成稳定版本对比报表</w:t>
            </w:r>
          </w:p>
        </w:tc>
      </w:tr>
    </w:tbl>
    <w:p w14:paraId="2722D94A">
      <w:pPr>
        <w:pStyle w:val="3"/>
      </w:pPr>
      <w:r>
        <w:rPr>
          <w:rFonts w:hint="eastAsia" w:eastAsia="宋体"/>
          <w:lang w:val="en-US" w:eastAsia="zh-CN"/>
        </w:rPr>
        <w:t>五</w:t>
      </w:r>
      <w:r>
        <w:t>、</w:t>
      </w:r>
      <w:bookmarkStart w:id="0" w:name="_GoBack"/>
      <w:bookmarkEnd w:id="0"/>
      <w:r>
        <w:t>结论</w:t>
      </w:r>
    </w:p>
    <w:p w14:paraId="6EBC2180">
      <w:r>
        <w:t>相较上一版，当前方案在加速度计三轴与陀螺 Z 轴上已取得明确提升，且在 GNSS 拒止场景中显著压低轨迹误差。当前主要短板已收敛到陀螺 X/Y 泛化与后段航向稳定性，问题范围清晰、优化路径明确。综合判断：本阶段优化方向有效，具备继续投入迭代并向工程应用推进的条件。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D2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652</Words>
  <Characters>952</Characters>
  <Lines>0</Lines>
  <Paragraphs>0</Paragraphs>
  <TotalTime>2</TotalTime>
  <ScaleCrop>false</ScaleCrop>
  <LinksUpToDate>false</LinksUpToDate>
  <CharactersWithSpaces>1021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周佳琪</cp:lastModifiedBy>
  <dcterms:modified xsi:type="dcterms:W3CDTF">2026-05-27T11:45:59Z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eyJoZGlkIjoiNWEwNTA2YjdmOGM1NGM0NjE0MWE0ZTYzMWM3NDBhZWEiLCJ1c2VySWQiOiIxNDc1MjU2NjkzIn0=</vt:lpwstr>
  </property>
  <property fmtid="{D5CDD505-2E9C-101B-9397-08002B2CF9AE}" pid="3" name="KSOProductBuildVer">
    <vt:lpwstr>2052-12.1.0.24034</vt:lpwstr>
  </property>
  <property fmtid="{D5CDD505-2E9C-101B-9397-08002B2CF9AE}" pid="4" name="ICV">
    <vt:lpwstr>3C063A5A44F34975ABE27FBF5E106D85_12</vt:lpwstr>
  </property>
</Properties>
</file>