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МИНИСТЕРСТВО ОБРАЗОВАНИЯ РЕСПУБЛИКИ БЕЛАРУСЬ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УЧРЕЖДЕНИЕ ОБРАЗОВАНИЯ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ГОМЕЛЬСКИЙ ГОСУДАРСТВЕННЫЙ ТЕХНИЧЕСКИЙ УНИВЕРСИТЕТ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ИМЕНИ П. О. СУХОГО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Факультет автоматизированных и информационных систем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«Информационные технологии»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ОТЧЕТ ПО ЛАБОРАТОРНОЙ РАБОТЕ № 7–8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дисциплине «Проектирование и разработка корпоративных информационных систем»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 тему: «Управление состоянием сеанса, обеспечение безопасности cookies и проектирование систем аутентификации/RBAC/ABAC»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гр. ИТП-41</w:t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Стасев Б.В.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Принял: преподаватель</w:t>
      </w:r>
    </w:p>
    <w:p>
      <w:pPr>
        <w:spacing w:line="276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Ермашкевич В. С.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Гомель 2026</w:t>
      </w:r>
    </w:p>
    <w:p>
      <w:r>
        <w:br w:type="pag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Цель работы: реализация защищенной системы управления клиентскими сеансами на базе криптографически подписанных cookies (HMAC-SHA256) с контролем таймаутов и цифровых отпечатков клиентов, а также построение двухтокенной системы аутентификации JWT с ротацией Refresh-токенов (RTR), детекцией повторного использования и разграничением прав доступа по ролям (RBAC).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работы.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Модуль crypto.js содержит криптографические алгоритмы: подпись сессионного идентификатора через HMAC-SHA256, безопасную верификацию подписи с защитой от атак по времени через timingSafeEqual и вычисление цифрового отпечатка клиента (IP + User-Agent).</w:t>
      </w:r>
    </w:p>
    <w:p>
      <w:pPr>
        <w:spacing w:before="120"/>
      </w:pPr>
    </w:p>
    <w:p>
      <w:pPr>
        <w:spacing w:after="60" w:before="60"/>
        <w:jc w:val="center"/>
      </w:pPr>
      <w:r>
        <w:drawing>
          <wp:inline distT="0" distB="0" distL="0" distR="0">
            <wp:extent cx="5943600" cy="418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Криптографические утилиты сессионной безопасности (crypto.js)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Класс SessionStore реализует серверное хранилище сеансов. В хранилище встроен контроль двух типов таймаутов: времени неактивности (idle timeout) и абсолютного времени жизни (absolute lifetime), а также прерывание сеанса при несовпадении отпечатка (Session Hijacking).</w:t>
      </w:r>
    </w:p>
    <w:p>
      <w:pPr>
        <w:spacing w:before="120"/>
      </w:pPr>
    </w:p>
    <w:p>
      <w:pPr>
        <w:spacing w:after="60" w:before="60"/>
        <w:jc w:val="center"/>
      </w:pPr>
      <w:r>
        <w:drawing>
          <wp:inline distT="0" distB="0" distL="0" distR="0">
            <wp:extent cx="5943600" cy="474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– Серверное хранилище сеансов с контролем времени жизни (session-store.js)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Сервис TokenService реализует двухтокенную аутентификацию (короткоживущий Access Token и долгоживущий Refresh Token). Реализован протокол Refresh Token Rotation (RTR): при предъявлении уже отозванного токена аннулируется все семейство (Reuse Detection).</w:t>
      </w:r>
    </w:p>
    <w:p>
      <w:pPr>
        <w:spacing w:before="120"/>
      </w:pPr>
    </w:p>
    <w:p>
      <w:pPr>
        <w:spacing w:after="60" w:before="60"/>
        <w:jc w:val="center"/>
      </w:pPr>
      <w:r>
        <w:drawing>
          <wp:inline distT="0" distB="0" distL="0" distR="0">
            <wp:extent cx="5943600" cy="562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– Сервис токенов JWT с ротацией и детекцией атак (token.service.js)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файле middlewares.js реализованы middleware sessionMiddleware (автоматическая установка HttpOnly/SameSite/Secure cookies) и функции аутентификации/авторизации authenticateJwt и authorizeRoles для ограничения доступа к защищенным маршрутам.</w:t>
      </w:r>
    </w:p>
    <w:p>
      <w:pPr>
        <w:spacing w:before="120"/>
      </w:pPr>
    </w:p>
    <w:p>
      <w:pPr>
        <w:spacing w:after="60" w:before="60"/>
        <w:jc w:val="center"/>
      </w:pPr>
      <w:r>
        <w:drawing>
          <wp:inline distT="0" distB="0" distL="0" distR="0">
            <wp:extent cx="5943600" cy="529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– Промежуточные обработчики сессий и авторизации RBAC</w:t>
      </w:r>
    </w:p>
    <w:p>
      <w:pPr>
        <w:spacing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Вывод: В ходе выполнения лабораторной работы №7–8 была разработана комплексная подсистема информационной безопасности КИС. Реализована многоуровневая защита клиентских сеансов от атак фиксации и угона, а применение стандарта JWT с протоколом ротации RTR и детекцией повторного использования гарантирует надежную защиту корпоративных API.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72308759fb861a0ae2891d4b9558bf6f0e8e92.png"/><Relationship Id="rId8" Type="http://schemas.openxmlformats.org/officeDocument/2006/relationships/image" Target="media/5c941b878e08235f51e71b21d247d0baea04583c.png"/><Relationship Id="rId9" Type="http://schemas.openxmlformats.org/officeDocument/2006/relationships/image" Target="media/57df01f92725074c03ff0a30578703b5606e77e2.png"/><Relationship Id="rId10" Type="http://schemas.openxmlformats.org/officeDocument/2006/relationships/image" Target="media/d7c1db1e8a96e47481b64bada0c04ff8691bda3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2026-10-15T13:29:52.177Z</dcterms:created>
  <dcterms:modified xsi:type="dcterms:W3CDTF">2026-10-15T13:29:52.177Z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