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00"/>
              <w:bottom w:type="dxa" w:w="240"/>
              <w:right w:type="dxa" w:w="300"/>
            </w:tcMar>
          </w:tcPr>
          <w:p>
            <w:pPr>
              <w:spacing w:after="80" w:before="0"/>
            </w:pPr>
            <w:r>
              <w:rPr>
                <w:rFonts w:ascii="Arial" w:cs="Arial" w:eastAsia="Arial" w:hAnsi="Arial"/>
                <w:b/>
                <w:bCs/>
                <w:color w:val="C0392B"/>
                <w:spacing w:val="60"/>
                <w:sz w:val="18"/>
                <w:szCs w:val="18"/>
              </w:rPr>
              <w:t xml:space="preserve">SYNERGY LEGAL  —  PERSONAL INJURY DEPARTMENT</w:t>
            </w:r>
          </w:p>
          <w:p>
            <w:pPr>
              <w:spacing w:after="60" w:before="0"/>
            </w:pPr>
            <w:r>
              <w:rPr>
                <w:rFonts w:ascii="Arial" w:cs="Arial" w:eastAsia="Arial" w:hAnsi="Arial"/>
                <w:b/>
                <w:bCs/>
                <w:color w:val="FFFFFF"/>
                <w:sz w:val="52"/>
                <w:szCs w:val="52"/>
              </w:rPr>
              <w:t xml:space="preserve">AI Foundation Blueprint</w:t>
            </w:r>
          </w:p>
          <w:p>
            <w:pPr>
              <w:spacing w:after="0" w:before="0"/>
            </w:pPr>
            <w:r>
              <w:rPr>
                <w:rFonts w:ascii="Arial" w:cs="Arial" w:eastAsia="Arial" w:hAnsi="Arial"/>
                <w:i/>
                <w:iCs/>
                <w:color w:val="D4A017"/>
                <w:sz w:val="24"/>
                <w:szCs w:val="24"/>
              </w:rPr>
              <w:t xml:space="preserve">3 Steps to Make Claude Your Firm's AI Brain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392B" w:val="clear"/>
            <w:tcMar>
              <w:top w:type="dxa" w:w="140"/>
              <w:left w:type="dxa" w:w="160"/>
              <w:bottom w:type="dxa" w:w="140"/>
              <w:right w:type="dxa" w:w="160"/>
            </w:tcMar>
          </w:tcPr>
          <w:p>
            <w:pPr>
              <w:spacing w:after="50" w:before="0"/>
              <w:jc w:val="center"/>
            </w:pPr>
            <w:r>
              <w:rPr>
                <w:rFonts w:ascii="Arial" w:cs="Arial" w:eastAsia="Arial" w:hAnsi="Arial"/>
                <w:b/>
                <w:bCs/>
                <w:color w:val="FFFFFF"/>
                <w:sz w:val="19"/>
                <w:szCs w:val="19"/>
              </w:rPr>
              <w:t xml:space="preserve">STEP 1</w:t>
            </w:r>
          </w:p>
          <w:p>
            <w:pPr>
              <w:spacing w:after="50" w:before="0"/>
              <w:jc w:val="center"/>
            </w:pPr>
            <w:r>
              <w:rPr>
                <w:rFonts w:ascii="Arial" w:cs="Arial" w:eastAsia="Arial" w:hAnsi="Arial"/>
                <w:b/>
                <w:bCs/>
                <w:color w:val="FFFFFF"/>
                <w:sz w:val="22"/>
                <w:szCs w:val="22"/>
              </w:rPr>
              <w:t xml:space="preserve">CLAUDE.md</w:t>
            </w:r>
          </w:p>
          <w:p>
            <w:pPr>
              <w:spacing w:after="0" w:before="0"/>
              <w:jc w:val="center"/>
            </w:pPr>
            <w:r>
              <w:rPr>
                <w:rFonts w:ascii="Arial" w:cs="Arial" w:eastAsia="Arial" w:hAnsi="Arial"/>
                <w:color w:val="FFFFFF"/>
                <w:sz w:val="18"/>
                <w:szCs w:val="18"/>
              </w:rPr>
              <w:t xml:space="preserve">Teach Claude who Synergy is</w:t>
            </w:r>
          </w:p>
        </w:tc>
        <w:tc>
          <w:tcPr>
            <w:tcW w:type="dxa" w:w="3120"/>
            <w:tcBorders>
              <w:top w:val="single" w:color="CCCCCC" w:sz="1"/>
              <w:left w:val="single" w:color="CCCCCC" w:sz="1"/>
              <w:bottom w:val="single" w:color="CCCCCC" w:sz="1"/>
              <w:right w:val="single" w:color="CCCCCC" w:sz="1"/>
            </w:tcBorders>
            <w:shd w:fill="0D7377" w:val="clear"/>
            <w:tcMar>
              <w:top w:type="dxa" w:w="140"/>
              <w:left w:type="dxa" w:w="160"/>
              <w:bottom w:type="dxa" w:w="140"/>
              <w:right w:type="dxa" w:w="160"/>
            </w:tcMar>
          </w:tcPr>
          <w:p>
            <w:pPr>
              <w:spacing w:after="50" w:before="0"/>
              <w:jc w:val="center"/>
            </w:pPr>
            <w:r>
              <w:rPr>
                <w:rFonts w:ascii="Arial" w:cs="Arial" w:eastAsia="Arial" w:hAnsi="Arial"/>
                <w:b/>
                <w:bCs/>
                <w:color w:val="FFFFFF"/>
                <w:sz w:val="19"/>
                <w:szCs w:val="19"/>
              </w:rPr>
              <w:t xml:space="preserve">STEP 2</w:t>
            </w:r>
          </w:p>
          <w:p>
            <w:pPr>
              <w:spacing w:after="50" w:before="0"/>
              <w:jc w:val="center"/>
            </w:pPr>
            <w:r>
              <w:rPr>
                <w:rFonts w:ascii="Arial" w:cs="Arial" w:eastAsia="Arial" w:hAnsi="Arial"/>
                <w:b/>
                <w:bCs/>
                <w:color w:val="FFFFFF"/>
                <w:sz w:val="22"/>
                <w:szCs w:val="22"/>
              </w:rPr>
              <w:t xml:space="preserve">Context Folders</w:t>
            </w:r>
          </w:p>
          <w:p>
            <w:pPr>
              <w:spacing w:after="0" w:before="0"/>
              <w:jc w:val="center"/>
            </w:pPr>
            <w:r>
              <w:rPr>
                <w:rFonts w:ascii="Arial" w:cs="Arial" w:eastAsia="Arial" w:hAnsi="Arial"/>
                <w:color w:val="FFFFFF"/>
                <w:sz w:val="18"/>
                <w:szCs w:val="18"/>
              </w:rPr>
              <w:t xml:space="preserve">Store your playbook, cases &amp; tools</w:t>
            </w:r>
          </w:p>
        </w:tc>
        <w:tc>
          <w:tcPr>
            <w:tcW w:type="dxa" w:w="3120"/>
            <w:tcBorders>
              <w:top w:val="single" w:color="CCCCCC" w:sz="1"/>
              <w:left w:val="single" w:color="CCCCCC" w:sz="1"/>
              <w:bottom w:val="single" w:color="CCCCCC" w:sz="1"/>
              <w:right w:val="single" w:color="CCCCCC" w:sz="1"/>
            </w:tcBorders>
            <w:shd w:fill="1A1A2E" w:val="clear"/>
            <w:tcMar>
              <w:top w:type="dxa" w:w="140"/>
              <w:left w:type="dxa" w:w="160"/>
              <w:bottom w:type="dxa" w:w="140"/>
              <w:right w:type="dxa" w:w="160"/>
            </w:tcMar>
          </w:tcPr>
          <w:p>
            <w:pPr>
              <w:spacing w:after="50" w:before="0"/>
              <w:jc w:val="center"/>
            </w:pPr>
            <w:r>
              <w:rPr>
                <w:rFonts w:ascii="Arial" w:cs="Arial" w:eastAsia="Arial" w:hAnsi="Arial"/>
                <w:b/>
                <w:bCs/>
                <w:color w:val="FFFFFF"/>
                <w:sz w:val="19"/>
                <w:szCs w:val="19"/>
              </w:rPr>
              <w:t xml:space="preserve">STEP 3</w:t>
            </w:r>
          </w:p>
          <w:p>
            <w:pPr>
              <w:spacing w:after="50" w:before="0"/>
              <w:jc w:val="center"/>
            </w:pPr>
            <w:r>
              <w:rPr>
                <w:rFonts w:ascii="Arial" w:cs="Arial" w:eastAsia="Arial" w:hAnsi="Arial"/>
                <w:b/>
                <w:bCs/>
                <w:color w:val="FFFFFF"/>
                <w:sz w:val="22"/>
                <w:szCs w:val="22"/>
              </w:rPr>
              <w:t xml:space="preserve">Skills (S# Library)</w:t>
            </w:r>
          </w:p>
          <w:p>
            <w:pPr>
              <w:spacing w:after="0" w:before="0"/>
              <w:jc w:val="center"/>
            </w:pPr>
            <w:r>
              <w:rPr>
                <w:rFonts w:ascii="Arial" w:cs="Arial" w:eastAsia="Arial" w:hAnsi="Arial"/>
                <w:color w:val="FFFFFF"/>
                <w:sz w:val="18"/>
                <w:szCs w:val="18"/>
              </w:rPr>
              <w:t xml:space="preserve">Turn your S# procedures into AI tasks</w:t>
            </w:r>
          </w:p>
        </w:tc>
      </w:tr>
    </w:tbl>
    <w:p>
      <w:pPr>
        <w:spacing w:after="160" w:before="0"/>
      </w:pPr>
    </w:p>
    <w:p>
      <w:pPr>
        <w:pStyle w:val="Heading1"/>
        <w:pBdr>
          <w:bottom w:val="single" w:color="C0392B" w:sz="6" w:space="6"/>
        </w:pBdr>
        <w:spacing w:after="140" w:before="320"/>
      </w:pPr>
      <w:r>
        <w:rPr>
          <w:rFonts w:ascii="Arial" w:cs="Arial" w:eastAsia="Arial" w:hAnsi="Arial"/>
          <w:b/>
          <w:bCs/>
          <w:color w:val="1A1A2E"/>
          <w:sz w:val="36"/>
          <w:szCs w:val="36"/>
        </w:rPr>
        <w:t xml:space="preserve">Step 1 — Write Your CLAUDE.md</w:t>
      </w:r>
    </w:p>
    <w:p>
      <w:pPr>
        <w:spacing w:after="60" w:before="40"/>
      </w:pPr>
      <w:r>
        <w:rPr>
          <w:rFonts w:ascii="Arial" w:cs="Arial" w:eastAsia="Arial" w:hAnsi="Arial"/>
          <w:color w:val="2C2C2C"/>
          <w:sz w:val="21"/>
          <w:szCs w:val="21"/>
        </w:rPr>
        <w:t xml:space="preserve">CLAUDE.md is the first file Claude reads every time you open it. It's where you tell Claude exactly who Synergy Legal is, who your perfect client is, how your team talks to people, and what rules to follow. Think of it as onboarding Claude the same way you'd onboard a new case manager — firm identity, client standards, communication rules, and hard limits.</w:t>
      </w:r>
    </w:p>
    <w:p>
      <w:pPr>
        <w:spacing w:after="100" w:before="0"/>
      </w:pPr>
    </w:p>
    <w:p>
      <w:pPr>
        <w:pStyle w:val="Heading2"/>
        <w:spacing w:after="100" w:before="240"/>
      </w:pPr>
      <w:r>
        <w:rPr>
          <w:rFonts w:ascii="Arial" w:cs="Arial" w:eastAsia="Arial" w:hAnsi="Arial"/>
          <w:b/>
          <w:bCs/>
          <w:color w:val="1A1A2E"/>
          <w:sz w:val="26"/>
          <w:szCs w:val="26"/>
        </w:rPr>
        <w:t xml:space="preserve">Your Synergy CLAUDE.md — Starter Template</w:t>
      </w:r>
    </w:p>
    <w:p>
      <w:pPr>
        <w:spacing w:after="60" w:before="40"/>
      </w:pPr>
      <w:r>
        <w:rPr>
          <w:rFonts w:ascii="Arial" w:cs="Arial" w:eastAsia="Arial" w:hAnsi="Arial"/>
          <w:color w:val="2C2C2C"/>
          <w:sz w:val="21"/>
          <w:szCs w:val="21"/>
        </w:rPr>
        <w:t xml:space="preserve">Copy this. Fill in the brackets. Save it as CLAUDE.md in your GTM-Stack folder.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8"/>
              <w:bottom w:val="single" w:color="CCCCCC" w:sz="1"/>
              <w:right w:val="single" w:color="CCCCCC" w:sz="1"/>
            </w:tcBorders>
            <w:shd w:fill="1E1E2E" w:val="clear"/>
            <w:tcMar>
              <w:top w:type="dxa" w:w="140"/>
              <w:left w:type="dxa" w:w="200"/>
              <w:bottom w:type="dxa" w:w="140"/>
              <w:right w:type="dxa" w:w="200"/>
            </w:tcMar>
          </w:tcPr>
          <w:p>
            <w:pPr>
              <w:spacing w:after="16" w:before="16"/>
            </w:pPr>
            <w:r>
              <w:rPr>
                <w:rFonts w:ascii="Courier New" w:cs="Courier New" w:eastAsia="Courier New" w:hAnsi="Courier New"/>
                <w:color w:val="7EC8E3"/>
                <w:sz w:val="18"/>
                <w:szCs w:val="18"/>
              </w:rPr>
              <w:t xml:space="preserve"># WHO WE ARE — SYNERGY LEGAL</w:t>
            </w:r>
          </w:p>
          <w:p>
            <w:pPr>
              <w:spacing w:after="16" w:before="16"/>
            </w:pPr>
            <w:r>
              <w:rPr>
                <w:rFonts w:ascii="Courier New" w:cs="Courier New" w:eastAsia="Courier New" w:hAnsi="Courier New"/>
                <w:color w:val="E8E8B0"/>
                <w:sz w:val="18"/>
                <w:szCs w:val="18"/>
              </w:rPr>
              <w:t xml:space="preserve">Firm: Synergy Legal, Personal Injury Department</w:t>
            </w:r>
          </w:p>
          <w:p>
            <w:pPr>
              <w:spacing w:after="16" w:before="16"/>
            </w:pPr>
            <w:r>
              <w:rPr>
                <w:rFonts w:ascii="Courier New" w:cs="Courier New" w:eastAsia="Courier New" w:hAnsi="Courier New"/>
                <w:color w:val="E8E8B0"/>
                <w:sz w:val="18"/>
                <w:szCs w:val="18"/>
              </w:rPr>
              <w:t xml:space="preserve">Status: Live since Nov 2024 | Owner: Dejon Brooks</w:t>
            </w:r>
          </w:p>
          <w:p>
            <w:pPr>
              <w:spacing w:after="16" w:before="16"/>
            </w:pPr>
            <w:r>
              <w:rPr>
                <w:rFonts w:ascii="Courier New" w:cs="Courier New" w:eastAsia="Courier New" w:hAnsi="Courier New"/>
                <w:color w:val="E8E8B0"/>
                <w:sz w:val="18"/>
                <w:szCs w:val="18"/>
              </w:rPr>
              <w:t xml:space="preserve">Practice: Personal injury — auto accidents, slip &amp; fall, workers comp,</w:t>
            </w:r>
          </w:p>
          <w:p>
            <w:pPr>
              <w:spacing w:after="16" w:before="16"/>
            </w:pPr>
            <w:r>
              <w:rPr>
                <w:rFonts w:ascii="Courier New" w:cs="Courier New" w:eastAsia="Courier New" w:hAnsi="Courier New"/>
                <w:color w:val="E8E8B0"/>
                <w:sz w:val="18"/>
                <w:szCs w:val="18"/>
              </w:rPr>
              <w:t xml:space="preserve">          liability cases, small claims, UIM/BI negotiations</w:t>
            </w:r>
          </w:p>
          <w:p>
            <w:pPr>
              <w:spacing w:after="16" w:before="16"/>
            </w:pPr>
            <w:r>
              <w:rPr>
                <w:rFonts w:ascii="Courier New" w:cs="Courier New" w:eastAsia="Courier New" w:hAnsi="Courier New"/>
                <w:color w:val="E8E8B0"/>
                <w:sz w:val="18"/>
                <w:szCs w:val="18"/>
              </w:rPr>
              <w:t xml:space="preserve">Tools: Monday.com (case management), GoHighLevel (CRM + leads),</w:t>
            </w:r>
          </w:p>
          <w:p>
            <w:pPr>
              <w:spacing w:after="16" w:before="16"/>
            </w:pPr>
            <w:r>
              <w:rPr>
                <w:rFonts w:ascii="Courier New" w:cs="Courier New" w:eastAsia="Courier New" w:hAnsi="Courier New"/>
                <w:color w:val="E8E8B0"/>
                <w:sz w:val="18"/>
                <w:szCs w:val="18"/>
              </w:rPr>
              <w:t xml:space="preserve">       Master Spreadsheet (insurance + medical data)</w:t>
            </w:r>
          </w:p>
          <w:p>
            <w:pPr>
              <w:spacing w:after="16" w:before="16"/>
            </w:pPr>
            <w:r>
              <w:rPr>
                <w:rFonts w:ascii="Courier New" w:cs="Courier New" w:eastAsia="Courier New" w:hAnsi="Courier New"/>
                <w:color w:val="E8E8B0"/>
                <w:sz w:val="18"/>
                <w:szCs w:val="18"/>
              </w:rPr>
              <w:t xml:space="preserve"/>
            </w:r>
          </w:p>
          <w:p>
            <w:pPr>
              <w:spacing w:after="16" w:before="16"/>
            </w:pPr>
            <w:r>
              <w:rPr>
                <w:rFonts w:ascii="Courier New" w:cs="Courier New" w:eastAsia="Courier New" w:hAnsi="Courier New"/>
                <w:color w:val="7EC8E3"/>
                <w:sz w:val="18"/>
                <w:szCs w:val="18"/>
              </w:rPr>
              <w:t xml:space="preserve"># OUR IDEAL CLIENT</w:t>
            </w:r>
          </w:p>
          <w:p>
            <w:pPr>
              <w:spacing w:after="16" w:before="16"/>
            </w:pPr>
            <w:r>
              <w:rPr>
                <w:rFonts w:ascii="Courier New" w:cs="Courier New" w:eastAsia="Courier New" w:hAnsi="Courier New"/>
                <w:color w:val="E8E8B0"/>
                <w:sz w:val="18"/>
                <w:szCs w:val="18"/>
              </w:rPr>
              <w:t xml:space="preserve">Adults hurt through someone else's fault — clear liability, real injuries.</w:t>
            </w:r>
          </w:p>
          <w:p>
            <w:pPr>
              <w:spacing w:after="16" w:before="16"/>
            </w:pPr>
            <w:r>
              <w:rPr>
                <w:rFonts w:ascii="Courier New" w:cs="Courier New" w:eastAsia="Courier New" w:hAnsi="Courier New"/>
                <w:color w:val="E8E8B0"/>
                <w:sz w:val="18"/>
                <w:szCs w:val="18"/>
              </w:rPr>
              <w:t xml:space="preserve">Strong case: ER/hospital visit, insured defendant, clean liability.</w:t>
            </w:r>
          </w:p>
          <w:p>
            <w:pPr>
              <w:spacing w:after="16" w:before="16"/>
            </w:pPr>
            <w:r>
              <w:rPr>
                <w:rFonts w:ascii="Courier New" w:cs="Courier New" w:eastAsia="Courier New" w:hAnsi="Courier New"/>
                <w:color w:val="E8E8B0"/>
                <w:sz w:val="18"/>
                <w:szCs w:val="18"/>
              </w:rPr>
              <w:t xml:space="preserve">Refer out: no insurance, expired SOL, already represented, outside state.</w:t>
            </w:r>
          </w:p>
          <w:p>
            <w:pPr>
              <w:spacing w:after="16" w:before="16"/>
            </w:pPr>
            <w:r>
              <w:rPr>
                <w:rFonts w:ascii="Courier New" w:cs="Courier New" w:eastAsia="Courier New" w:hAnsi="Courier New"/>
                <w:color w:val="E8E8B0"/>
                <w:sz w:val="18"/>
                <w:szCs w:val="18"/>
              </w:rPr>
              <w:t xml:space="preserve"/>
            </w:r>
          </w:p>
          <w:p>
            <w:pPr>
              <w:spacing w:after="16" w:before="16"/>
            </w:pPr>
            <w:r>
              <w:rPr>
                <w:rFonts w:ascii="Courier New" w:cs="Courier New" w:eastAsia="Courier New" w:hAnsi="Courier New"/>
                <w:color w:val="7EC8E3"/>
                <w:sz w:val="18"/>
                <w:szCs w:val="18"/>
              </w:rPr>
              <w:t xml:space="preserve"># HOW WE TALK</w:t>
            </w:r>
          </w:p>
          <w:p>
            <w:pPr>
              <w:spacing w:after="16" w:before="16"/>
            </w:pPr>
            <w:r>
              <w:rPr>
                <w:rFonts w:ascii="Courier New" w:cs="Courier New" w:eastAsia="Courier New" w:hAnsi="Courier New"/>
                <w:color w:val="E8E8B0"/>
                <w:sz w:val="18"/>
                <w:szCs w:val="18"/>
              </w:rPr>
              <w:t xml:space="preserve">Warm, clear, direct. No legal jargon. Short sentences.</w:t>
            </w:r>
          </w:p>
          <w:p>
            <w:pPr>
              <w:spacing w:after="16" w:before="16"/>
            </w:pPr>
            <w:r>
              <w:rPr>
                <w:rFonts w:ascii="Courier New" w:cs="Courier New" w:eastAsia="Courier New" w:hAnsi="Courier New"/>
                <w:color w:val="E8E8B0"/>
                <w:sz w:val="18"/>
                <w:szCs w:val="18"/>
              </w:rPr>
              <w:t xml:space="preserve">We are on their side from the first call — make that obvious.</w:t>
            </w:r>
          </w:p>
          <w:p>
            <w:pPr>
              <w:spacing w:after="16" w:before="16"/>
            </w:pPr>
            <w:r>
              <w:rPr>
                <w:rFonts w:ascii="Courier New" w:cs="Courier New" w:eastAsia="Courier New" w:hAnsi="Courier New"/>
                <w:color w:val="E8E8B0"/>
                <w:sz w:val="18"/>
                <w:szCs w:val="18"/>
              </w:rPr>
              <w:t xml:space="preserve">Always tell the client exactly what happens next.</w:t>
            </w:r>
          </w:p>
          <w:p>
            <w:pPr>
              <w:spacing w:after="16" w:before="16"/>
            </w:pPr>
            <w:r>
              <w:rPr>
                <w:rFonts w:ascii="Courier New" w:cs="Courier New" w:eastAsia="Courier New" w:hAnsi="Courier New"/>
                <w:color w:val="E8E8B0"/>
                <w:sz w:val="18"/>
                <w:szCs w:val="18"/>
              </w:rPr>
              <w:t xml:space="preserve">We have English AND Spanish speakers on staff — match the client's language.</w:t>
            </w:r>
          </w:p>
          <w:p>
            <w:pPr>
              <w:spacing w:after="16" w:before="16"/>
            </w:pPr>
            <w:r>
              <w:rPr>
                <w:rFonts w:ascii="Courier New" w:cs="Courier New" w:eastAsia="Courier New" w:hAnsi="Courier New"/>
                <w:color w:val="E8E8B0"/>
                <w:sz w:val="18"/>
                <w:szCs w:val="18"/>
              </w:rPr>
              <w:t xml:space="preserve"/>
            </w:r>
          </w:p>
          <w:p>
            <w:pPr>
              <w:spacing w:after="16" w:before="16"/>
            </w:pPr>
            <w:r>
              <w:rPr>
                <w:rFonts w:ascii="Courier New" w:cs="Courier New" w:eastAsia="Courier New" w:hAnsi="Courier New"/>
                <w:color w:val="7EC8E3"/>
                <w:sz w:val="18"/>
                <w:szCs w:val="18"/>
              </w:rPr>
              <w:t xml:space="preserve"># PLAYBOOK RULES (from R#001)</w:t>
            </w:r>
          </w:p>
          <w:p>
            <w:pPr>
              <w:spacing w:after="16" w:before="16"/>
            </w:pPr>
            <w:r>
              <w:rPr>
                <w:rFonts w:ascii="Courier New" w:cs="Courier New" w:eastAsia="Courier New" w:hAnsi="Courier New"/>
                <w:color w:val="E8E8B0"/>
                <w:sz w:val="18"/>
                <w:szCs w:val="18"/>
              </w:rPr>
              <w:t xml:space="preserve">All demand letters need attorney final review before submitting (S#012).</w:t>
            </w:r>
          </w:p>
          <w:p>
            <w:pPr>
              <w:spacing w:after="16" w:before="16"/>
            </w:pPr>
            <w:r>
              <w:rPr>
                <w:rFonts w:ascii="Courier New" w:cs="Courier New" w:eastAsia="Courier New" w:hAnsi="Courier New"/>
                <w:color w:val="E8E8B0"/>
                <w:sz w:val="18"/>
                <w:szCs w:val="18"/>
              </w:rPr>
              <w:t xml:space="preserve">Never promise a settlement amount to a client.</w:t>
            </w:r>
          </w:p>
          <w:p>
            <w:pPr>
              <w:spacing w:after="16" w:before="16"/>
            </w:pPr>
            <w:r>
              <w:rPr>
                <w:rFonts w:ascii="Courier New" w:cs="Courier New" w:eastAsia="Courier New" w:hAnsi="Courier New"/>
                <w:color w:val="E8E8B0"/>
                <w:sz w:val="18"/>
                <w:szCs w:val="18"/>
              </w:rPr>
              <w:t xml:space="preserve">All documents go in the client's Monday.com folder (S#065).</w:t>
            </w:r>
          </w:p>
          <w:p>
            <w:pPr>
              <w:spacing w:after="16" w:before="16"/>
            </w:pPr>
            <w:r>
              <w:rPr>
                <w:rFonts w:ascii="Courier New" w:cs="Courier New" w:eastAsia="Courier New" w:hAnsi="Courier New"/>
                <w:color w:val="E8E8B0"/>
                <w:sz w:val="18"/>
                <w:szCs w:val="18"/>
              </w:rPr>
              <w:t xml:space="preserve">PII is never stored in plain text outside of secure systems.</w:t>
            </w:r>
          </w:p>
          <w:p>
            <w:pPr>
              <w:spacing w:after="16" w:before="16"/>
            </w:pPr>
            <w:r>
              <w:rPr>
                <w:rFonts w:ascii="Courier New" w:cs="Courier New" w:eastAsia="Courier New" w:hAnsi="Courier New"/>
                <w:color w:val="E8E8B0"/>
                <w:sz w:val="18"/>
                <w:szCs w:val="18"/>
              </w:rPr>
              <w:t xml:space="preserve">Wrongful death, major TBI, or litigation cases — alert managing attorney first.</w:t>
            </w:r>
          </w:p>
          <w:p>
            <w:pPr>
              <w:spacing w:after="16" w:before="16"/>
            </w:pPr>
            <w:r>
              <w:rPr>
                <w:rFonts w:ascii="Courier New" w:cs="Courier New" w:eastAsia="Courier New" w:hAnsi="Courier New"/>
                <w:color w:val="E8E8B0"/>
                <w:sz w:val="18"/>
                <w:szCs w:val="18"/>
              </w:rPr>
              <w:t xml:space="preserve"/>
            </w:r>
          </w:p>
          <w:p>
            <w:pPr>
              <w:spacing w:after="16" w:before="16"/>
            </w:pPr>
            <w:r>
              <w:rPr>
                <w:rFonts w:ascii="Courier New" w:cs="Courier New" w:eastAsia="Courier New" w:hAnsi="Courier New"/>
                <w:color w:val="7EC8E3"/>
                <w:sz w:val="18"/>
                <w:szCs w:val="18"/>
              </w:rPr>
              <w:t xml:space="preserve"># WORKFLOW TRIGGERS (see Step 3 for full skill list)</w:t>
            </w:r>
          </w:p>
          <w:p>
            <w:pPr>
              <w:spacing w:after="16" w:before="16"/>
            </w:pPr>
            <w:r>
              <w:rPr>
                <w:rFonts w:ascii="Courier New" w:cs="Courier New" w:eastAsia="Courier New" w:hAnsi="Courier New"/>
                <w:color w:val="FFB347"/>
                <w:sz w:val="18"/>
                <w:szCs w:val="18"/>
              </w:rPr>
              <w:t xml:space="preserve">IF: new lead arrives → run intake-triage.skill</w:t>
            </w:r>
          </w:p>
          <w:p>
            <w:pPr>
              <w:spacing w:after="16" w:before="16"/>
            </w:pPr>
            <w:r>
              <w:rPr>
                <w:rFonts w:ascii="Courier New" w:cs="Courier New" w:eastAsia="Courier New" w:hAnsi="Courier New"/>
                <w:color w:val="FFB347"/>
                <w:sz w:val="18"/>
                <w:szCs w:val="18"/>
              </w:rPr>
              <w:t xml:space="preserve">IF: case reaches demand phase → run demand-prep.skill</w:t>
            </w:r>
          </w:p>
          <w:p>
            <w:pPr>
              <w:spacing w:after="16" w:before="16"/>
            </w:pPr>
            <w:r>
              <w:rPr>
                <w:rFonts w:ascii="Courier New" w:cs="Courier New" w:eastAsia="Courier New" w:hAnsi="Courier New"/>
                <w:color w:val="FFB347"/>
                <w:sz w:val="18"/>
                <w:szCs w:val="18"/>
              </w:rPr>
              <w:t xml:space="preserve">IF: Monday = weekly update day → run client-update.skill (S#009)</w:t>
            </w:r>
          </w:p>
          <w:p>
            <w:pPr>
              <w:spacing w:after="16" w:before="16"/>
            </w:pPr>
            <w:r>
              <w:rPr>
                <w:rFonts w:ascii="Courier New" w:cs="Courier New" w:eastAsia="Courier New" w:hAnsi="Courier New"/>
                <w:color w:val="FFB347"/>
                <w:sz w:val="18"/>
                <w:szCs w:val="18"/>
              </w:rPr>
              <w:t xml:space="preserve">IF: content needed → run content-generator.skill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0"/>
              <w:left w:val="single" w:color="0D7377" w:sz="10"/>
              <w:bottom w:val="single" w:color="CCCCCC" w:sz="1"/>
              <w:right w:val="single" w:color="CCCCCC" w:sz="1"/>
            </w:tcBorders>
            <w:shd w:fill="F0FAFA" w:val="clear"/>
            <w:tcMar>
              <w:top w:type="dxa" w:w="130"/>
              <w:left w:type="dxa" w:w="180"/>
              <w:bottom w:type="dxa" w:w="130"/>
              <w:right w:type="dxa" w:w="180"/>
            </w:tcMar>
          </w:tcPr>
          <w:p>
            <w:pPr>
              <w:spacing w:after="70" w:before="0"/>
            </w:pPr>
            <w:r>
              <w:rPr>
                <w:rFonts w:ascii="Arial" w:cs="Arial" w:eastAsia="Arial" w:hAnsi="Arial"/>
                <w:b/>
                <w:bCs/>
                <w:color w:val="0D7377"/>
                <w:sz w:val="21"/>
                <w:szCs w:val="21"/>
              </w:rPr>
              <w:t xml:space="preserve">What This Covers From Your Existing Playbook</w:t>
            </w:r>
          </w:p>
          <w:p>
            <w:pPr>
              <w:pStyle w:val="ListParagraph"/>
              <w:numPr>
                <w:ilvl w:val="0"/>
                <w:numId w:val="2"/>
              </w:numPr>
              <w:spacing w:after="28" w:before="28"/>
            </w:pPr>
            <w:r>
              <w:rPr>
                <w:rFonts w:ascii="Arial" w:cs="Arial" w:eastAsia="Arial" w:hAnsi="Arial"/>
                <w:color w:val="2C2C2C"/>
                <w:sz w:val="20"/>
                <w:szCs w:val="20"/>
              </w:rPr>
              <w:t xml:space="preserve">R#001 (Business Playbook) — firm identity, rules, and brand voice are now locked into Claude permanently</w:t>
            </w:r>
          </w:p>
          <w:p>
            <w:pPr>
              <w:pStyle w:val="ListParagraph"/>
              <w:numPr>
                <w:ilvl w:val="0"/>
                <w:numId w:val="2"/>
              </w:numPr>
              <w:spacing w:after="28" w:before="28"/>
            </w:pPr>
            <w:r>
              <w:rPr>
                <w:rFonts w:ascii="Arial" w:cs="Arial" w:eastAsia="Arial" w:hAnsi="Arial"/>
                <w:color w:val="2C2C2C"/>
                <w:sz w:val="20"/>
                <w:szCs w:val="20"/>
              </w:rPr>
              <w:t xml:space="preserve">R#045 (Job Titles &amp; Daily Workflow) — Claude understands each role and won't overstep staff responsibilities</w:t>
            </w:r>
          </w:p>
          <w:p>
            <w:pPr>
              <w:pStyle w:val="ListParagraph"/>
              <w:numPr>
                <w:ilvl w:val="0"/>
                <w:numId w:val="2"/>
              </w:numPr>
              <w:spacing w:after="28" w:before="28"/>
            </w:pPr>
            <w:r>
              <w:rPr>
                <w:rFonts w:ascii="Arial" w:cs="Arial" w:eastAsia="Arial" w:hAnsi="Arial"/>
                <w:color w:val="2C2C2C"/>
                <w:sz w:val="20"/>
                <w:szCs w:val="20"/>
              </w:rPr>
              <w:t xml:space="preserve">R#019 (Customer Journey PDF) — Claude knows the full client journey and can assist at every stage</w:t>
            </w:r>
          </w:p>
          <w:p>
            <w:pPr>
              <w:pStyle w:val="ListParagraph"/>
              <w:numPr>
                <w:ilvl w:val="0"/>
                <w:numId w:val="2"/>
              </w:numPr>
              <w:spacing w:after="28" w:before="28"/>
            </w:pPr>
            <w:r>
              <w:rPr>
                <w:rFonts w:ascii="Arial" w:cs="Arial" w:eastAsia="Arial" w:hAnsi="Arial"/>
                <w:color w:val="2C2C2C"/>
                <w:sz w:val="20"/>
                <w:szCs w:val="20"/>
              </w:rPr>
              <w:t xml:space="preserve">T#034 (ChatGPT Prompt Library) — your existing prompts can be moved into skills for consistent use</w:t>
            </w:r>
          </w:p>
          <w:p>
            <w:pPr>
              <w:pStyle w:val="ListParagraph"/>
              <w:numPr>
                <w:ilvl w:val="0"/>
                <w:numId w:val="2"/>
              </w:numPr>
              <w:spacing w:after="28" w:before="28"/>
            </w:pPr>
            <w:r>
              <w:rPr>
                <w:rFonts w:ascii="Arial" w:cs="Arial" w:eastAsia="Arial" w:hAnsi="Arial"/>
                <w:color w:val="2C2C2C"/>
                <w:sz w:val="20"/>
                <w:szCs w:val="20"/>
              </w:rPr>
              <w:t xml:space="preserve">R#003 (Negotiations Case Matrix) — stored in context folders so Claude references it during every negotiation task</w:t>
            </w:r>
          </w:p>
        </w:tc>
      </w:tr>
    </w:tbl>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C0392B" w:sz="6" w:space="6"/>
        </w:pBdr>
        <w:spacing w:after="140" w:before="320"/>
      </w:pPr>
      <w:r>
        <w:rPr>
          <w:rFonts w:ascii="Arial" w:cs="Arial" w:eastAsia="Arial" w:hAnsi="Arial"/>
          <w:b/>
          <w:bCs/>
          <w:color w:val="1A1A2E"/>
          <w:sz w:val="36"/>
          <w:szCs w:val="36"/>
        </w:rPr>
        <w:t xml:space="preserve">Step 2 — Build Your Context Folders</w:t>
      </w:r>
    </w:p>
    <w:p>
      <w:pPr>
        <w:spacing w:after="60" w:before="40"/>
      </w:pPr>
      <w:r>
        <w:rPr>
          <w:rFonts w:ascii="Arial" w:cs="Arial" w:eastAsia="Arial" w:hAnsi="Arial"/>
          <w:color w:val="2C2C2C"/>
          <w:sz w:val="21"/>
          <w:szCs w:val="21"/>
        </w:rPr>
        <w:t xml:space="preserve">Folders are Claude's memory. Every time Claude does a task, it reads these folders first — so it already knows your case types, your providers, your competitors, and how Synergy works. You're not starting from scratch on every session. You're giving Claude a filing cabinet that already has everything it needs.</w:t>
      </w:r>
    </w:p>
    <w:p>
      <w:pPr>
        <w:spacing w:after="60" w:before="40"/>
      </w:pPr>
      <w:r>
        <w:rPr>
          <w:rFonts w:ascii="Arial" w:cs="Arial" w:eastAsia="Arial" w:hAnsi="Arial"/>
          <w:color w:val="2C2C2C"/>
          <w:sz w:val="21"/>
          <w:szCs w:val="21"/>
        </w:rPr>
        <w:t xml:space="preserve">Your tools — Monday.com, GoHighLevel, and your Master Spreadsheet — store the live data. These folders store the knowledge, rules, and context that help Claude use that data the right way.</w:t>
      </w:r>
    </w:p>
    <w:p>
      <w:pPr>
        <w:spacing w:after="120" w:before="0"/>
      </w:pPr>
    </w:p>
    <w:p>
      <w:pPr>
        <w:pStyle w:val="Heading2"/>
        <w:spacing w:after="100" w:before="240"/>
      </w:pPr>
      <w:r>
        <w:rPr>
          <w:rFonts w:ascii="Arial" w:cs="Arial" w:eastAsia="Arial" w:hAnsi="Arial"/>
          <w:b/>
          <w:bCs/>
          <w:color w:val="1A1A2E"/>
          <w:sz w:val="26"/>
          <w:szCs w:val="26"/>
        </w:rPr>
        <w:t xml:space="preserve">The Synergy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Folder</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Goes Inside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Synergy Reference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C0392B"/>
                <w:sz w:val="18"/>
                <w:szCs w:val="18"/>
              </w:rPr>
              <w:t xml:space="preserve">cases/</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8"/>
                <w:szCs w:val="18"/>
              </w:rPr>
              <w:t xml:space="preserve">Case type guides — what a strong case looks like, settlement ranges, common tactics by insurer</w:t>
            </w:r>
          </w:p>
        </w:tc>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i/>
                <w:iCs/>
                <w:color w:val="0D7377"/>
                <w:sz w:val="17"/>
                <w:szCs w:val="17"/>
              </w:rPr>
              <w:t xml:space="preserve">R#003 (Case Matrix), R#012 (Negotiations Playbook)</w:t>
            </w:r>
          </w:p>
        </w:tc>
      </w:tr>
      <w:tr>
        <w:tc>
          <w:tcPr>
            <w:tcW w:type="dxa" w:w="2800"/>
            <w:tcBorders>
              <w:top w:val="single" w:color="CCCCCC" w:sz="1"/>
              <w:left w:val="single" w:color="CCCCCC" w:sz="1"/>
              <w:bottom w:val="single" w:color="CCCCCC" w:sz="1"/>
              <w:right w:val="single" w:color="CCCCCC" w:sz="1"/>
            </w:tcBorders>
            <w:shd w:fill="E8E8E8" w:val="clear"/>
            <w:tcMar>
              <w:top w:type="dxa" w:w="70"/>
              <w:left w:type="dxa" w:w="120"/>
              <w:bottom w:type="dxa" w:w="70"/>
              <w:right w:type="dxa" w:w="120"/>
            </w:tcMar>
          </w:tcPr>
          <w:p>
            <w:r>
              <w:rPr>
                <w:rFonts w:ascii="Arial" w:cs="Arial" w:eastAsia="Arial" w:hAnsi="Arial"/>
                <w:b/>
                <w:bCs/>
                <w:color w:val="C0392B"/>
                <w:sz w:val="18"/>
                <w:szCs w:val="18"/>
              </w:rPr>
              <w:t xml:space="preserve">clients/</w:t>
            </w:r>
          </w:p>
        </w:tc>
        <w:tc>
          <w:tcPr>
            <w:tcW w:type="dxa" w:w="2960"/>
            <w:tcBorders>
              <w:top w:val="single" w:color="CCCCCC" w:sz="1"/>
              <w:left w:val="single" w:color="CCCCCC" w:sz="1"/>
              <w:bottom w:val="single" w:color="CCCCCC" w:sz="1"/>
              <w:right w:val="single" w:color="CCCCCC" w:sz="1"/>
            </w:tcBorders>
            <w:shd w:fill="E8E8E8" w:val="clear"/>
            <w:tcMar>
              <w:top w:type="dxa" w:w="70"/>
              <w:left w:type="dxa" w:w="120"/>
              <w:bottom w:type="dxa" w:w="70"/>
              <w:right w:type="dxa" w:w="120"/>
            </w:tcMar>
          </w:tcPr>
          <w:p>
            <w:r>
              <w:rPr>
                <w:rFonts w:ascii="Arial" w:cs="Arial" w:eastAsia="Arial" w:hAnsi="Arial"/>
                <w:color w:val="2C2C2C"/>
                <w:sz w:val="18"/>
                <w:szCs w:val="18"/>
              </w:rPr>
              <w:t xml:space="preserve">Per-case notes using case ID (not client name). Medical timeline, liability notes, strategy memo</w:t>
            </w:r>
          </w:p>
        </w:tc>
        <w:tc>
          <w:tcPr>
            <w:tcW w:type="dxa" w:w="3600"/>
            <w:tcBorders>
              <w:top w:val="single" w:color="CCCCCC" w:sz="1"/>
              <w:left w:val="single" w:color="CCCCCC" w:sz="1"/>
              <w:bottom w:val="single" w:color="CCCCCC" w:sz="1"/>
              <w:right w:val="single" w:color="CCCCCC" w:sz="1"/>
            </w:tcBorders>
            <w:shd w:fill="E8E8E8" w:val="clear"/>
            <w:tcMar>
              <w:top w:type="dxa" w:w="70"/>
              <w:left w:type="dxa" w:w="120"/>
              <w:bottom w:type="dxa" w:w="70"/>
              <w:right w:type="dxa" w:w="120"/>
            </w:tcMar>
          </w:tcPr>
          <w:p>
            <w:r>
              <w:rPr>
                <w:rFonts w:ascii="Arial" w:cs="Arial" w:eastAsia="Arial" w:hAnsi="Arial"/>
                <w:i/>
                <w:iCs/>
                <w:color w:val="0D7377"/>
                <w:sz w:val="17"/>
                <w:szCs w:val="17"/>
              </w:rPr>
              <w:t xml:space="preserve">S#065 (Monday.com onboarding), R#004 (Master Spreadsheet)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C0392B"/>
                <w:sz w:val="18"/>
                <w:szCs w:val="18"/>
              </w:rPr>
              <w:t xml:space="preserve">medical-providers/</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8"/>
                <w:szCs w:val="18"/>
              </w:rPr>
              <w:t xml:space="preserve">Every provider in your network — specialty, contact, turnaround time, billing patterns</w:t>
            </w:r>
          </w:p>
        </w:tc>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i/>
                <w:iCs/>
                <w:color w:val="0D7377"/>
                <w:sz w:val="17"/>
                <w:szCs w:val="17"/>
              </w:rPr>
              <w:t xml:space="preserve">R#006 (Medical Provider Contact List), S#007 (Referring Clients)</w:t>
            </w:r>
          </w:p>
        </w:tc>
      </w:tr>
      <w:tr>
        <w:tc>
          <w:tcPr>
            <w:tcW w:type="dxa" w:w="2800"/>
            <w:tcBorders>
              <w:top w:val="single" w:color="CCCCCC" w:sz="1"/>
              <w:left w:val="single" w:color="CCCCCC" w:sz="1"/>
              <w:bottom w:val="single" w:color="CCCCCC" w:sz="1"/>
              <w:right w:val="single" w:color="CCCCCC" w:sz="1"/>
            </w:tcBorders>
            <w:shd w:fill="E8E8E8" w:val="clear"/>
            <w:tcMar>
              <w:top w:type="dxa" w:w="70"/>
              <w:left w:type="dxa" w:w="120"/>
              <w:bottom w:type="dxa" w:w="70"/>
              <w:right w:type="dxa" w:w="120"/>
            </w:tcMar>
          </w:tcPr>
          <w:p>
            <w:r>
              <w:rPr>
                <w:rFonts w:ascii="Arial" w:cs="Arial" w:eastAsia="Arial" w:hAnsi="Arial"/>
                <w:b/>
                <w:bCs/>
                <w:color w:val="C0392B"/>
                <w:sz w:val="18"/>
                <w:szCs w:val="18"/>
              </w:rPr>
              <w:t xml:space="preserve">negotiations/</w:t>
            </w:r>
          </w:p>
        </w:tc>
        <w:tc>
          <w:tcPr>
            <w:tcW w:type="dxa" w:w="2960"/>
            <w:tcBorders>
              <w:top w:val="single" w:color="CCCCCC" w:sz="1"/>
              <w:left w:val="single" w:color="CCCCCC" w:sz="1"/>
              <w:bottom w:val="single" w:color="CCCCCC" w:sz="1"/>
              <w:right w:val="single" w:color="CCCCCC" w:sz="1"/>
            </w:tcBorders>
            <w:shd w:fill="E8E8E8" w:val="clear"/>
            <w:tcMar>
              <w:top w:type="dxa" w:w="70"/>
              <w:left w:type="dxa" w:w="120"/>
              <w:bottom w:type="dxa" w:w="70"/>
              <w:right w:type="dxa" w:w="120"/>
            </w:tcMar>
          </w:tcPr>
          <w:p>
            <w:r>
              <w:rPr>
                <w:rFonts w:ascii="Arial" w:cs="Arial" w:eastAsia="Arial" w:hAnsi="Arial"/>
                <w:color w:val="2C2C2C"/>
                <w:sz w:val="18"/>
                <w:szCs w:val="18"/>
              </w:rPr>
              <w:t xml:space="preserve">Insurer behavior patterns, adjuster notes, offer history, escalation triggers per carrier</w:t>
            </w:r>
          </w:p>
        </w:tc>
        <w:tc>
          <w:tcPr>
            <w:tcW w:type="dxa" w:w="3600"/>
            <w:tcBorders>
              <w:top w:val="single" w:color="CCCCCC" w:sz="1"/>
              <w:left w:val="single" w:color="CCCCCC" w:sz="1"/>
              <w:bottom w:val="single" w:color="CCCCCC" w:sz="1"/>
              <w:right w:val="single" w:color="CCCCCC" w:sz="1"/>
            </w:tcBorders>
            <w:shd w:fill="E8E8E8" w:val="clear"/>
            <w:tcMar>
              <w:top w:type="dxa" w:w="70"/>
              <w:left w:type="dxa" w:w="120"/>
              <w:bottom w:type="dxa" w:w="70"/>
              <w:right w:type="dxa" w:w="120"/>
            </w:tcMar>
          </w:tcPr>
          <w:p>
            <w:r>
              <w:rPr>
                <w:rFonts w:ascii="Arial" w:cs="Arial" w:eastAsia="Arial" w:hAnsi="Arial"/>
                <w:i/>
                <w:iCs/>
                <w:color w:val="0D7377"/>
                <w:sz w:val="17"/>
                <w:szCs w:val="17"/>
              </w:rPr>
              <w:t xml:space="preserve">R#012 (Negotiations Playbook), R#051 (Lien Tracker)</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C0392B"/>
                <w:sz w:val="18"/>
                <w:szCs w:val="18"/>
              </w:rPr>
              <w:t xml:space="preserve">competitors/</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8"/>
                <w:szCs w:val="18"/>
              </w:rPr>
              <w:t xml:space="preserve">What competing PI firms say in ads, their reviews, their fees, and how to stand out against them</w:t>
            </w:r>
          </w:p>
        </w:tc>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i/>
                <w:iCs/>
                <w:color w:val="0D7377"/>
                <w:sz w:val="17"/>
                <w:szCs w:val="17"/>
              </w:rPr>
              <w:t xml:space="preserve">R#022 (Social Media/Ads Resources)</w:t>
            </w:r>
          </w:p>
        </w:tc>
      </w:tr>
      <w:tr>
        <w:tc>
          <w:tcPr>
            <w:tcW w:type="dxa" w:w="2800"/>
            <w:tcBorders>
              <w:top w:val="single" w:color="CCCCCC" w:sz="1"/>
              <w:left w:val="single" w:color="CCCCCC" w:sz="1"/>
              <w:bottom w:val="single" w:color="CCCCCC" w:sz="1"/>
              <w:right w:val="single" w:color="CCCCCC" w:sz="1"/>
            </w:tcBorders>
            <w:shd w:fill="E8E8E8" w:val="clear"/>
            <w:tcMar>
              <w:top w:type="dxa" w:w="70"/>
              <w:left w:type="dxa" w:w="120"/>
              <w:bottom w:type="dxa" w:w="70"/>
              <w:right w:type="dxa" w:w="120"/>
            </w:tcMar>
          </w:tcPr>
          <w:p>
            <w:r>
              <w:rPr>
                <w:rFonts w:ascii="Arial" w:cs="Arial" w:eastAsia="Arial" w:hAnsi="Arial"/>
                <w:b/>
                <w:bCs/>
                <w:color w:val="C0392B"/>
                <w:sz w:val="18"/>
                <w:szCs w:val="18"/>
              </w:rPr>
              <w:t xml:space="preserve">campaigns/</w:t>
            </w:r>
          </w:p>
        </w:tc>
        <w:tc>
          <w:tcPr>
            <w:tcW w:type="dxa" w:w="2960"/>
            <w:tcBorders>
              <w:top w:val="single" w:color="CCCCCC" w:sz="1"/>
              <w:left w:val="single" w:color="CCCCCC" w:sz="1"/>
              <w:bottom w:val="single" w:color="CCCCCC" w:sz="1"/>
              <w:right w:val="single" w:color="CCCCCC" w:sz="1"/>
            </w:tcBorders>
            <w:shd w:fill="E8E8E8" w:val="clear"/>
            <w:tcMar>
              <w:top w:type="dxa" w:w="70"/>
              <w:left w:type="dxa" w:w="120"/>
              <w:bottom w:type="dxa" w:w="70"/>
              <w:right w:type="dxa" w:w="120"/>
            </w:tcMar>
          </w:tcPr>
          <w:p>
            <w:r>
              <w:rPr>
                <w:rFonts w:ascii="Arial" w:cs="Arial" w:eastAsia="Arial" w:hAnsi="Arial"/>
                <w:color w:val="2C2C2C"/>
                <w:sz w:val="18"/>
                <w:szCs w:val="18"/>
              </w:rPr>
              <w:t xml:space="preserve">GoHighLevel ad performance, best-performing lead scripts, FB Ads data, appointment warmup results</w:t>
            </w:r>
          </w:p>
        </w:tc>
        <w:tc>
          <w:tcPr>
            <w:tcW w:type="dxa" w:w="3600"/>
            <w:tcBorders>
              <w:top w:val="single" w:color="CCCCCC" w:sz="1"/>
              <w:left w:val="single" w:color="CCCCCC" w:sz="1"/>
              <w:bottom w:val="single" w:color="CCCCCC" w:sz="1"/>
              <w:right w:val="single" w:color="CCCCCC" w:sz="1"/>
            </w:tcBorders>
            <w:shd w:fill="E8E8E8" w:val="clear"/>
            <w:tcMar>
              <w:top w:type="dxa" w:w="70"/>
              <w:left w:type="dxa" w:w="120"/>
              <w:bottom w:type="dxa" w:w="70"/>
              <w:right w:type="dxa" w:w="120"/>
            </w:tcMar>
          </w:tcPr>
          <w:p>
            <w:r>
              <w:rPr>
                <w:rFonts w:ascii="Arial" w:cs="Arial" w:eastAsia="Arial" w:hAnsi="Arial"/>
                <w:i/>
                <w:iCs/>
                <w:color w:val="0D7377"/>
                <w:sz w:val="17"/>
                <w:szCs w:val="17"/>
              </w:rPr>
              <w:t xml:space="preserve">R#024 (FB Ads Lead Sheet), T#025 (Lead Scripts), T#026 (Warmup)</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C0392B"/>
                <w:sz w:val="18"/>
                <w:szCs w:val="18"/>
              </w:rPr>
              <w:t xml:space="preserve">voice-guides/</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8"/>
                <w:szCs w:val="18"/>
              </w:rPr>
              <w:t xml:space="preserve">Real phrases clients use — pulled from intake calls and GoHighLevel transcripts. Makes Claude sound human.</w:t>
            </w:r>
          </w:p>
        </w:tc>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i/>
                <w:iCs/>
                <w:color w:val="0D7377"/>
                <w:sz w:val="17"/>
                <w:szCs w:val="17"/>
              </w:rPr>
              <w:t xml:space="preserve">R#007 (Client Testimonials), S#009 (Weekly Update Process)</w:t>
            </w:r>
          </w:p>
        </w:tc>
      </w:tr>
      <w:tr>
        <w:tc>
          <w:tcPr>
            <w:tcW w:type="dxa" w:w="2800"/>
            <w:tcBorders>
              <w:top w:val="single" w:color="CCCCCC" w:sz="1"/>
              <w:left w:val="single" w:color="CCCCCC" w:sz="1"/>
              <w:bottom w:val="single" w:color="CCCCCC" w:sz="1"/>
              <w:right w:val="single" w:color="CCCCCC" w:sz="1"/>
            </w:tcBorders>
            <w:shd w:fill="E8E8E8" w:val="clear"/>
            <w:tcMar>
              <w:top w:type="dxa" w:w="70"/>
              <w:left w:type="dxa" w:w="120"/>
              <w:bottom w:type="dxa" w:w="70"/>
              <w:right w:type="dxa" w:w="120"/>
            </w:tcMar>
          </w:tcPr>
          <w:p>
            <w:r>
              <w:rPr>
                <w:rFonts w:ascii="Arial" w:cs="Arial" w:eastAsia="Arial" w:hAnsi="Arial"/>
                <w:b/>
                <w:bCs/>
                <w:color w:val="C0392B"/>
                <w:sz w:val="18"/>
                <w:szCs w:val="18"/>
              </w:rPr>
              <w:t xml:space="preserve">finance/</w:t>
            </w:r>
          </w:p>
        </w:tc>
        <w:tc>
          <w:tcPr>
            <w:tcW w:type="dxa" w:w="2960"/>
            <w:tcBorders>
              <w:top w:val="single" w:color="CCCCCC" w:sz="1"/>
              <w:left w:val="single" w:color="CCCCCC" w:sz="1"/>
              <w:bottom w:val="single" w:color="CCCCCC" w:sz="1"/>
              <w:right w:val="single" w:color="CCCCCC" w:sz="1"/>
            </w:tcBorders>
            <w:shd w:fill="E8E8E8" w:val="clear"/>
            <w:tcMar>
              <w:top w:type="dxa" w:w="70"/>
              <w:left w:type="dxa" w:w="120"/>
              <w:bottom w:type="dxa" w:w="70"/>
              <w:right w:type="dxa" w:w="120"/>
            </w:tcMar>
          </w:tcPr>
          <w:p>
            <w:r>
              <w:rPr>
                <w:rFonts w:ascii="Arial" w:cs="Arial" w:eastAsia="Arial" w:hAnsi="Arial"/>
                <w:color w:val="2C2C2C"/>
                <w:sz w:val="18"/>
                <w:szCs w:val="18"/>
              </w:rPr>
              <w:t xml:space="preserve">Settlement sheet structure, lien types, payroll notes, check process — so Claude understands the money side</w:t>
            </w:r>
          </w:p>
        </w:tc>
        <w:tc>
          <w:tcPr>
            <w:tcW w:type="dxa" w:w="3600"/>
            <w:tcBorders>
              <w:top w:val="single" w:color="CCCCCC" w:sz="1"/>
              <w:left w:val="single" w:color="CCCCCC" w:sz="1"/>
              <w:bottom w:val="single" w:color="CCCCCC" w:sz="1"/>
              <w:right w:val="single" w:color="CCCCCC" w:sz="1"/>
            </w:tcBorders>
            <w:shd w:fill="E8E8E8" w:val="clear"/>
            <w:tcMar>
              <w:top w:type="dxa" w:w="70"/>
              <w:left w:type="dxa" w:w="120"/>
              <w:bottom w:type="dxa" w:w="70"/>
              <w:right w:type="dxa" w:w="120"/>
            </w:tcMar>
          </w:tcPr>
          <w:p>
            <w:r>
              <w:rPr>
                <w:rFonts w:ascii="Arial" w:cs="Arial" w:eastAsia="Arial" w:hAnsi="Arial"/>
                <w:i/>
                <w:iCs/>
                <w:color w:val="0D7377"/>
                <w:sz w:val="17"/>
                <w:szCs w:val="17"/>
              </w:rPr>
              <w:t xml:space="preserve">S#019 (Settlement Sheets), S#053 (Reductions), S#061 (Client Checks)</w:t>
            </w:r>
          </w:p>
        </w:tc>
      </w:tr>
    </w:tbl>
    <w:p>
      <w:pPr>
        <w:spacing w:after="120" w:before="0"/>
      </w:pPr>
    </w:p>
    <w:p>
      <w:pPr>
        <w:pStyle w:val="Heading2"/>
        <w:spacing w:after="100" w:before="240"/>
      </w:pPr>
      <w:r>
        <w:rPr>
          <w:rFonts w:ascii="Arial" w:cs="Arial" w:eastAsia="Arial" w:hAnsi="Arial"/>
          <w:b/>
          <w:bCs/>
          <w:color w:val="1A1A2E"/>
          <w:sz w:val="26"/>
          <w:szCs w:val="26"/>
        </w:rPr>
        <w:t xml:space="preserve">How Your Tools Connect to the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5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5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19"/>
                <w:szCs w:val="19"/>
              </w:rPr>
              <w:t xml:space="preserve">How Claude Uses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18"/>
                <w:szCs w:val="18"/>
              </w:rPr>
              <w:t xml:space="preserve">Monday.com</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8"/>
                <w:szCs w:val="18"/>
              </w:rPr>
              <w:t xml:space="preserve">Tracks every case — status, tasks, deadlines, notes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8"/>
                <w:szCs w:val="18"/>
              </w:rPr>
              <w:t xml:space="preserve">Claude reads case context from Monday via MCP or copied notes. Skills reference S#065 for folder structure.</w:t>
            </w:r>
          </w:p>
        </w:tc>
      </w:tr>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0D7377"/>
                <w:sz w:val="18"/>
                <w:szCs w:val="18"/>
              </w:rPr>
              <w:t xml:space="preserve">GoHighLevel</w:t>
            </w:r>
          </w:p>
        </w:tc>
        <w:tc>
          <w:tcPr>
            <w:tcW w:type="dxa" w:w="35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color w:val="2C2C2C"/>
                <w:sz w:val="18"/>
                <w:szCs w:val="18"/>
              </w:rPr>
              <w:t xml:space="preserve">CRM for leads, SMS/email automations, appointment scheduling</w:t>
            </w:r>
          </w:p>
        </w:tc>
        <w:tc>
          <w:tcPr>
            <w:tcW w:type="dxa" w:w="35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color w:val="2C2C2C"/>
                <w:sz w:val="18"/>
                <w:szCs w:val="18"/>
              </w:rPr>
              <w:t xml:space="preserve">Claude pulls lead data for triage scoring. T#023 (Auto SMS) and T#026 (Warmup) become Claude-triggered skills.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18"/>
                <w:szCs w:val="18"/>
              </w:rPr>
              <w:t xml:space="preserve">Master Spreadsheet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8"/>
                <w:szCs w:val="18"/>
              </w:rPr>
              <w:t xml:space="preserve">Insurance data, medical provider info, settlement tracking</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8"/>
                <w:szCs w:val="18"/>
              </w:rPr>
              <w:t xml:space="preserve">Stored summaries go into cases/ and medical-providers/ folders. Claude references R#004 patterns during negotiations.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0"/>
              <w:left w:val="single" w:color="D4A017" w:sz="10"/>
              <w:bottom w:val="single" w:color="CCCCCC" w:sz="1"/>
              <w:right w:val="single" w:color="CCCCCC" w:sz="1"/>
            </w:tcBorders>
            <w:shd w:fill="FFFFF0" w:val="clear"/>
            <w:tcMar>
              <w:top w:type="dxa" w:w="130"/>
              <w:left w:type="dxa" w:w="180"/>
              <w:bottom w:type="dxa" w:w="130"/>
              <w:right w:type="dxa" w:w="180"/>
            </w:tcMar>
          </w:tcPr>
          <w:p>
            <w:pPr>
              <w:spacing w:after="70" w:before="0"/>
            </w:pPr>
            <w:r>
              <w:rPr>
                <w:rFonts w:ascii="Arial" w:cs="Arial" w:eastAsia="Arial" w:hAnsi="Arial"/>
                <w:b/>
                <w:bCs/>
                <w:color w:val="D4A017"/>
                <w:sz w:val="21"/>
                <w:szCs w:val="21"/>
              </w:rPr>
              <w:t xml:space="preserve">Build These Two Folders First (Day 1)</w:t>
            </w:r>
          </w:p>
          <w:p>
            <w:pPr>
              <w:pStyle w:val="ListParagraph"/>
              <w:numPr>
                <w:ilvl w:val="0"/>
                <w:numId w:val="2"/>
              </w:numPr>
              <w:spacing w:after="28" w:before="28"/>
            </w:pPr>
            <w:r>
              <w:rPr>
                <w:rFonts w:ascii="Arial" w:cs="Arial" w:eastAsia="Arial" w:hAnsi="Arial"/>
                <w:color w:val="2C2C2C"/>
                <w:sz w:val="20"/>
                <w:szCs w:val="20"/>
              </w:rPr>
              <w:t xml:space="preserve">cases/auto-accident/ — pull from R#003 (Case Matrix) and R#012 (Negotiations Playbook). Write what a strong auto case looks like and your typical settlement ranges.</w:t>
            </w:r>
          </w:p>
          <w:p>
            <w:pPr>
              <w:pStyle w:val="ListParagraph"/>
              <w:numPr>
                <w:ilvl w:val="0"/>
                <w:numId w:val="2"/>
              </w:numPr>
              <w:spacing w:after="28" w:before="28"/>
            </w:pPr>
            <w:r>
              <w:rPr>
                <w:rFonts w:ascii="Arial" w:cs="Arial" w:eastAsia="Arial" w:hAnsi="Arial"/>
                <w:color w:val="2C2C2C"/>
                <w:sz w:val="20"/>
                <w:szCs w:val="20"/>
              </w:rPr>
              <w:t xml:space="preserve">voice-guides/ — pull real phrases from your GoHighLevel intake transcripts and R#007 (Client Testimonials). This is what makes Claude sound like Synergy, not a robot.</w:t>
            </w:r>
          </w:p>
        </w:tc>
      </w:tr>
    </w:tbl>
    <w:p>
      <w:r>
        <w:br w:type="page"/>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pBdr>
          <w:bottom w:val="single" w:color="C0392B" w:sz="6" w:space="6"/>
        </w:pBdr>
        <w:spacing w:after="140" w:before="320"/>
      </w:pPr>
      <w:r>
        <w:rPr>
          <w:rFonts w:ascii="Arial" w:cs="Arial" w:eastAsia="Arial" w:hAnsi="Arial"/>
          <w:b/>
          <w:bCs/>
          <w:color w:val="1A1A2E"/>
          <w:sz w:val="36"/>
          <w:szCs w:val="36"/>
        </w:rPr>
        <w:t xml:space="preserve">Step 3 — Turn Your S# Procedures Into Skills</w:t>
      </w:r>
    </w:p>
    <w:p>
      <w:pPr>
        <w:spacing w:after="60" w:before="40"/>
      </w:pPr>
      <w:r>
        <w:rPr>
          <w:rFonts w:ascii="Arial" w:cs="Arial" w:eastAsia="Arial" w:hAnsi="Arial"/>
          <w:color w:val="2C2C2C"/>
          <w:sz w:val="21"/>
          <w:szCs w:val="21"/>
        </w:rPr>
        <w:t xml:space="preserve">You already have a full library of step-by-step procedures in your R#001 playbook. Each S# procedure has Steps 1, 2, and 3 clearly mapped out. That's exactly what a Claude skill needs to work. You're not writing skills from scratch — you're translating what your team already does into instructions Claude can follow automatically.</w:t>
      </w:r>
    </w:p>
    <w:p>
      <w:pPr>
        <w:spacing w:after="100" w:before="0"/>
      </w:pPr>
    </w:p>
    <w:p>
      <w:pPr>
        <w:pStyle w:val="Heading2"/>
        <w:spacing w:after="100" w:before="240"/>
      </w:pPr>
      <w:r>
        <w:rPr>
          <w:rFonts w:ascii="Arial" w:cs="Arial" w:eastAsia="Arial" w:hAnsi="Arial"/>
          <w:b/>
          <w:bCs/>
          <w:color w:val="1A1A2E"/>
          <w:sz w:val="26"/>
          <w:szCs w:val="26"/>
        </w:rPr>
        <w:t xml:space="preserve">How an S# Procedure Becomes a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Your Playbook (S# Procedure)</w:t>
            </w:r>
          </w:p>
        </w:tc>
        <w:tc>
          <w:tcPr>
            <w:tcW w:type="dxa" w:w="468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r>
              <w:rPr>
                <w:rFonts w:ascii="Arial" w:cs="Arial" w:eastAsia="Arial" w:hAnsi="Arial"/>
                <w:b/>
                <w:bCs/>
                <w:color w:val="FFFFFF"/>
                <w:sz w:val="19"/>
                <w:szCs w:val="19"/>
              </w:rPr>
              <w:t xml:space="preserve">The Claude Skill Version</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0"/>
            </w:pPr>
            <w:r>
              <w:rPr>
                <w:rFonts w:ascii="Arial" w:cs="Arial" w:eastAsia="Arial" w:hAnsi="Arial"/>
                <w:b/>
                <w:bCs/>
                <w:color w:val="1A1A2E"/>
                <w:sz w:val="19"/>
                <w:szCs w:val="19"/>
              </w:rPr>
              <w:t xml:space="preserve">S#009 — Weekly Client Update Process</w:t>
            </w:r>
          </w:p>
          <w:p>
            <w:pPr>
              <w:pStyle w:val="ListParagraph"/>
              <w:numPr>
                <w:ilvl w:val="0"/>
                <w:numId w:val="2"/>
              </w:numPr>
              <w:spacing w:after="30" w:before="30"/>
            </w:pPr>
            <w:r>
              <w:rPr>
                <w:rFonts w:ascii="Arial" w:cs="Arial" w:eastAsia="Arial" w:hAnsi="Arial"/>
                <w:color w:val="2C2C2C"/>
                <w:sz w:val="20"/>
                <w:szCs w:val="20"/>
              </w:rPr>
              <w:t xml:space="preserve">Step 1: Pull all active cases due for update</w:t>
            </w:r>
          </w:p>
          <w:p>
            <w:pPr>
              <w:pStyle w:val="ListParagraph"/>
              <w:numPr>
                <w:ilvl w:val="0"/>
                <w:numId w:val="2"/>
              </w:numPr>
              <w:spacing w:after="30" w:before="30"/>
            </w:pPr>
            <w:r>
              <w:rPr>
                <w:rFonts w:ascii="Arial" w:cs="Arial" w:eastAsia="Arial" w:hAnsi="Arial"/>
                <w:color w:val="2C2C2C"/>
                <w:sz w:val="20"/>
                <w:szCs w:val="20"/>
              </w:rPr>
              <w:t xml:space="preserve">Step 2: Draft update message per case status</w:t>
            </w:r>
          </w:p>
          <w:p>
            <w:pPr>
              <w:pStyle w:val="ListParagraph"/>
              <w:numPr>
                <w:ilvl w:val="0"/>
                <w:numId w:val="2"/>
              </w:numPr>
              <w:spacing w:after="30" w:before="30"/>
            </w:pPr>
            <w:r>
              <w:rPr>
                <w:rFonts w:ascii="Arial" w:cs="Arial" w:eastAsia="Arial" w:hAnsi="Arial"/>
                <w:color w:val="2C2C2C"/>
                <w:sz w:val="20"/>
                <w:szCs w:val="20"/>
              </w:rPr>
              <w:t xml:space="preserve">Step 3: Send via text/email and log in Monday</w:t>
            </w:r>
          </w:p>
        </w:tc>
        <w:tc>
          <w:tcPr>
            <w:tcW w:type="dxa" w:w="468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pPr>
              <w:spacing w:after="60" w:before="0"/>
            </w:pPr>
            <w:r>
              <w:rPr>
                <w:rFonts w:ascii="Arial" w:cs="Arial" w:eastAsia="Arial" w:hAnsi="Arial"/>
                <w:b/>
                <w:bCs/>
                <w:color w:val="C0392B"/>
                <w:sz w:val="19"/>
                <w:szCs w:val="19"/>
              </w:rPr>
              <w:t xml:space="preserve">client-update.skill</w:t>
            </w:r>
          </w:p>
          <w:p>
            <w:pPr>
              <w:pStyle w:val="ListParagraph"/>
              <w:numPr>
                <w:ilvl w:val="0"/>
                <w:numId w:val="2"/>
              </w:numPr>
              <w:spacing w:after="30" w:before="30"/>
            </w:pPr>
            <w:r>
              <w:rPr>
                <w:rFonts w:ascii="Arial" w:cs="Arial" w:eastAsia="Arial" w:hAnsi="Arial"/>
                <w:color w:val="2C2C2C"/>
                <w:sz w:val="20"/>
                <w:szCs w:val="20"/>
              </w:rPr>
              <w:t xml:space="preserve">Load: clients/ folder for all cases flagged 'update due'</w:t>
            </w:r>
          </w:p>
          <w:p>
            <w:pPr>
              <w:pStyle w:val="ListParagraph"/>
              <w:numPr>
                <w:ilvl w:val="0"/>
                <w:numId w:val="2"/>
              </w:numPr>
              <w:spacing w:after="30" w:before="30"/>
            </w:pPr>
            <w:r>
              <w:rPr>
                <w:rFonts w:ascii="Arial" w:cs="Arial" w:eastAsia="Arial" w:hAnsi="Arial"/>
                <w:color w:val="2C2C2C"/>
                <w:sz w:val="20"/>
                <w:szCs w:val="20"/>
              </w:rPr>
              <w:t xml:space="preserve">Draft: warm, plain-language update for each case in Synergy voice</w:t>
            </w:r>
          </w:p>
          <w:p>
            <w:pPr>
              <w:pStyle w:val="ListParagraph"/>
              <w:numPr>
                <w:ilvl w:val="0"/>
                <w:numId w:val="2"/>
              </w:numPr>
              <w:spacing w:after="30" w:before="30"/>
            </w:pPr>
            <w:r>
              <w:rPr>
                <w:rFonts w:ascii="Arial" w:cs="Arial" w:eastAsia="Arial" w:hAnsi="Arial"/>
                <w:color w:val="2C2C2C"/>
                <w:sz w:val="20"/>
                <w:szCs w:val="20"/>
              </w:rPr>
              <w:t xml:space="preserve">Output: ready-to-send messages + Monday.com log entry draft</w:t>
            </w:r>
          </w:p>
        </w:tc>
      </w:tr>
    </w:tbl>
    <w:p>
      <w:pPr>
        <w:spacing w:after="140" w:before="0"/>
      </w:pPr>
    </w:p>
    <w:p>
      <w:pPr>
        <w:pStyle w:val="Heading2"/>
        <w:spacing w:after="100" w:before="240"/>
      </w:pPr>
      <w:r>
        <w:rPr>
          <w:rFonts w:ascii="Arial" w:cs="Arial" w:eastAsia="Arial" w:hAnsi="Arial"/>
          <w:b/>
          <w:bCs/>
          <w:color w:val="1A1A2E"/>
          <w:sz w:val="26"/>
          <w:szCs w:val="26"/>
        </w:rPr>
        <w:t xml:space="preserve">Your Priority Skills — Mapped to Your S#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460"/>
        <w:gridCol w:w="2700"/>
        <w:gridCol w:w="3660"/>
      </w:tblGrid>
      <w:tr>
        <w:tc>
          <w:tcPr>
            <w:tcW w:type="dxa" w:w="540"/>
            <w:tcBorders>
              <w:top w:val="single" w:color="CCCCCC" w:sz="1"/>
              <w:left w:val="single" w:color="CCCCCC" w:sz="1"/>
              <w:bottom w:val="single" w:color="CCCCCC" w:sz="1"/>
              <w:right w:val="single" w:color="CCCCCC" w:sz="1"/>
            </w:tcBorders>
            <w:shd w:fill="1A1A2E" w:val="clear"/>
            <w:tcMar>
              <w:top w:type="dxa" w:w="70"/>
              <w:left w:type="dxa" w:w="80"/>
              <w:bottom w:type="dxa" w:w="70"/>
              <w:right w:type="dxa" w:w="80"/>
            </w:tcMar>
          </w:tcPr>
          <w:p>
            <w:pPr>
              <w:jc w:val="center"/>
            </w:pPr>
            <w:r>
              <w:rPr>
                <w:rFonts w:ascii="Arial" w:cs="Arial" w:eastAsia="Arial" w:hAnsi="Arial"/>
                <w:b/>
                <w:bCs/>
                <w:color w:val="FFFFFF"/>
                <w:sz w:val="18"/>
                <w:szCs w:val="18"/>
              </w:rPr>
              <w:t xml:space="preserve">#</w:t>
            </w:r>
          </w:p>
        </w:tc>
        <w:tc>
          <w:tcPr>
            <w:tcW w:type="dxa" w:w="2460"/>
            <w:tcBorders>
              <w:top w:val="single" w:color="CCCCCC" w:sz="1"/>
              <w:left w:val="single" w:color="CCCCCC" w:sz="1"/>
              <w:bottom w:val="single" w:color="CCCCCC" w:sz="1"/>
              <w:right w:val="single" w:color="CCCCCC" w:sz="1"/>
            </w:tcBorders>
            <w:shd w:fill="1A1A2E" w:val="clear"/>
            <w:tcMar>
              <w:top w:type="dxa" w:w="70"/>
              <w:left w:type="dxa" w:w="100"/>
              <w:bottom w:type="dxa" w:w="70"/>
              <w:right w:type="dxa" w:w="100"/>
            </w:tcMar>
          </w:tcPr>
          <w:p>
            <w:r>
              <w:rPr>
                <w:rFonts w:ascii="Arial" w:cs="Arial" w:eastAsia="Arial" w:hAnsi="Arial"/>
                <w:b/>
                <w:bCs/>
                <w:color w:val="FFFFFF"/>
                <w:sz w:val="18"/>
                <w:szCs w:val="18"/>
              </w:rPr>
              <w:t xml:space="preserve">Skill Name</w:t>
            </w:r>
          </w:p>
        </w:tc>
        <w:tc>
          <w:tcPr>
            <w:tcW w:type="dxa" w:w="2700"/>
            <w:tcBorders>
              <w:top w:val="single" w:color="CCCCCC" w:sz="1"/>
              <w:left w:val="single" w:color="CCCCCC" w:sz="1"/>
              <w:bottom w:val="single" w:color="CCCCCC" w:sz="1"/>
              <w:right w:val="single" w:color="CCCCCC" w:sz="1"/>
            </w:tcBorders>
            <w:shd w:fill="1A1A2E" w:val="clear"/>
            <w:tcMar>
              <w:top w:type="dxa" w:w="70"/>
              <w:left w:type="dxa" w:w="100"/>
              <w:bottom w:type="dxa" w:w="70"/>
              <w:right w:type="dxa" w:w="100"/>
            </w:tcMar>
          </w:tcPr>
          <w:p>
            <w:r>
              <w:rPr>
                <w:rFonts w:ascii="Arial" w:cs="Arial" w:eastAsia="Arial" w:hAnsi="Arial"/>
                <w:b/>
                <w:bCs/>
                <w:color w:val="FFFFFF"/>
                <w:sz w:val="18"/>
                <w:szCs w:val="18"/>
              </w:rPr>
              <w:t xml:space="preserve">Based On</w:t>
            </w:r>
          </w:p>
        </w:tc>
        <w:tc>
          <w:tcPr>
            <w:tcW w:type="dxa" w:w="3660"/>
            <w:tcBorders>
              <w:top w:val="single" w:color="CCCCCC" w:sz="1"/>
              <w:left w:val="single" w:color="CCCCCC" w:sz="1"/>
              <w:bottom w:val="single" w:color="CCCCCC" w:sz="1"/>
              <w:right w:val="single" w:color="CCCCCC" w:sz="1"/>
            </w:tcBorders>
            <w:shd w:fill="1A1A2E" w:val="clear"/>
            <w:tcMar>
              <w:top w:type="dxa" w:w="70"/>
              <w:left w:type="dxa" w:w="100"/>
              <w:bottom w:type="dxa" w:w="70"/>
              <w:right w:type="dxa" w:w="100"/>
            </w:tcMar>
          </w:tcPr>
          <w:p>
            <w:r>
              <w:rPr>
                <w:rFonts w:ascii="Arial" w:cs="Arial" w:eastAsia="Arial" w:hAnsi="Arial"/>
                <w:b/>
                <w:bCs/>
                <w:color w:val="FFFFFF"/>
                <w:sz w:val="18"/>
                <w:szCs w:val="18"/>
              </w:rPr>
              <w:t xml:space="preserve">What It Does</w:t>
            </w:r>
          </w:p>
        </w:tc>
      </w:tr>
      <w:tr>
        <w:tc>
          <w:tcPr>
            <w:tcW w:type="dxa" w:w="540"/>
            <w:tcBorders>
              <w:top w:val="single" w:color="CCCCCC" w:sz="1"/>
              <w:left w:val="single" w:color="CCCCCC" w:sz="1"/>
              <w:bottom w:val="single" w:color="CCCCCC" w:sz="1"/>
              <w:right w:val="single" w:color="CCCCCC" w:sz="1"/>
            </w:tcBorders>
            <w:shd w:fill="C0392B"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1</w:t>
            </w:r>
          </w:p>
        </w:tc>
        <w:tc>
          <w:tcPr>
            <w:tcW w:type="dxa" w:w="24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C0392B"/>
                <w:sz w:val="17"/>
                <w:szCs w:val="17"/>
              </w:rPr>
              <w:t xml:space="preserve">intake-triage.skill</w:t>
            </w:r>
          </w:p>
        </w:tc>
        <w:tc>
          <w:tcPr>
            <w:tcW w:type="dxa" w:w="2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i/>
                <w:iCs/>
                <w:color w:val="0D7377"/>
                <w:sz w:val="16"/>
                <w:szCs w:val="16"/>
              </w:rPr>
              <w:t xml:space="preserve">S#042, S#065, S#004,
R#003 Case Matrix</w:t>
            </w:r>
          </w:p>
        </w:tc>
        <w:tc>
          <w:tcPr>
            <w:tcW w:type="dxa" w:w="36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2C2C"/>
                <w:sz w:val="17"/>
                <w:szCs w:val="17"/>
              </w:rPr>
              <w:t xml:space="preserve">Scores new leads from GoHighLevel against your ICP. Routes to accept, review, or referral partner. Generates a scorecard for your intake team. Fires automatically when a new lead hits the system.</w:t>
            </w:r>
          </w:p>
        </w:tc>
      </w:tr>
      <w:tr>
        <w:tc>
          <w:tcPr>
            <w:tcW w:type="dxa" w:w="540"/>
            <w:tcBorders>
              <w:top w:val="single" w:color="CCCCCC" w:sz="1"/>
              <w:left w:val="single" w:color="CCCCCC" w:sz="1"/>
              <w:bottom w:val="single" w:color="CCCCCC" w:sz="1"/>
              <w:right w:val="single" w:color="CCCCCC" w:sz="1"/>
            </w:tcBorders>
            <w:shd w:fill="1A1A2E"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2</w:t>
            </w:r>
          </w:p>
        </w:tc>
        <w:tc>
          <w:tcPr>
            <w:tcW w:type="dxa" w:w="2460"/>
            <w:tcBorders>
              <w:top w:val="single" w:color="CCCCCC" w:sz="1"/>
              <w:left w:val="single" w:color="CCCCCC" w:sz="1"/>
              <w:bottom w:val="single" w:color="CCCCCC" w:sz="1"/>
              <w:right w:val="single" w:color="CCCCCC" w:sz="1"/>
            </w:tcBorders>
            <w:shd w:fill="E8E8E8" w:val="clear"/>
            <w:tcMar>
              <w:top w:type="dxa" w:w="70"/>
              <w:left w:type="dxa" w:w="100"/>
              <w:bottom w:type="dxa" w:w="70"/>
              <w:right w:type="dxa" w:w="100"/>
            </w:tcMar>
          </w:tcPr>
          <w:p>
            <w:r>
              <w:rPr>
                <w:rFonts w:ascii="Arial" w:cs="Arial" w:eastAsia="Arial" w:hAnsi="Arial"/>
                <w:b/>
                <w:bCs/>
                <w:color w:val="C0392B"/>
                <w:sz w:val="17"/>
                <w:szCs w:val="17"/>
              </w:rPr>
              <w:t xml:space="preserve">client-update.skill</w:t>
            </w:r>
          </w:p>
        </w:tc>
        <w:tc>
          <w:tcPr>
            <w:tcW w:type="dxa" w:w="2700"/>
            <w:tcBorders>
              <w:top w:val="single" w:color="CCCCCC" w:sz="1"/>
              <w:left w:val="single" w:color="CCCCCC" w:sz="1"/>
              <w:bottom w:val="single" w:color="CCCCCC" w:sz="1"/>
              <w:right w:val="single" w:color="CCCCCC" w:sz="1"/>
            </w:tcBorders>
            <w:shd w:fill="E8E8E8" w:val="clear"/>
            <w:tcMar>
              <w:top w:type="dxa" w:w="70"/>
              <w:left w:type="dxa" w:w="100"/>
              <w:bottom w:type="dxa" w:w="70"/>
              <w:right w:type="dxa" w:w="100"/>
            </w:tcMar>
          </w:tcPr>
          <w:p>
            <w:r>
              <w:rPr>
                <w:rFonts w:ascii="Arial" w:cs="Arial" w:eastAsia="Arial" w:hAnsi="Arial"/>
                <w:i/>
                <w:iCs/>
                <w:color w:val="0D7377"/>
                <w:sz w:val="16"/>
                <w:szCs w:val="16"/>
              </w:rPr>
              <w:t xml:space="preserve">S#009, T#023 Auto SMS</w:t>
            </w:r>
          </w:p>
        </w:tc>
        <w:tc>
          <w:tcPr>
            <w:tcW w:type="dxa" w:w="3660"/>
            <w:tcBorders>
              <w:top w:val="single" w:color="CCCCCC" w:sz="1"/>
              <w:left w:val="single" w:color="CCCCCC" w:sz="1"/>
              <w:bottom w:val="single" w:color="CCCCCC" w:sz="1"/>
              <w:right w:val="single" w:color="CCCCCC" w:sz="1"/>
            </w:tcBorders>
            <w:shd w:fill="E8E8E8" w:val="clear"/>
            <w:tcMar>
              <w:top w:type="dxa" w:w="70"/>
              <w:left w:type="dxa" w:w="100"/>
              <w:bottom w:type="dxa" w:w="70"/>
              <w:right w:type="dxa" w:w="100"/>
            </w:tcMar>
          </w:tcPr>
          <w:p>
            <w:r>
              <w:rPr>
                <w:rFonts w:ascii="Arial" w:cs="Arial" w:eastAsia="Arial" w:hAnsi="Arial"/>
                <w:color w:val="2C2C2C"/>
                <w:sz w:val="17"/>
                <w:szCs w:val="17"/>
              </w:rPr>
              <w:t xml:space="preserve">Every week, pulls all cases due for an update, drafts a warm plain-language message for each client in Synergy voice, and outputs ready-to-send texts/emails plus Monday.com log entries.</w:t>
            </w:r>
          </w:p>
        </w:tc>
      </w:tr>
      <w:tr>
        <w:tc>
          <w:tcPr>
            <w:tcW w:type="dxa" w:w="540"/>
            <w:tcBorders>
              <w:top w:val="single" w:color="CCCCCC" w:sz="1"/>
              <w:left w:val="single" w:color="CCCCCC" w:sz="1"/>
              <w:bottom w:val="single" w:color="CCCCCC" w:sz="1"/>
              <w:right w:val="single" w:color="CCCCCC" w:sz="1"/>
            </w:tcBorders>
            <w:shd w:fill="C0392B"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3</w:t>
            </w:r>
          </w:p>
        </w:tc>
        <w:tc>
          <w:tcPr>
            <w:tcW w:type="dxa" w:w="24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C0392B"/>
                <w:sz w:val="17"/>
                <w:szCs w:val="17"/>
              </w:rPr>
              <w:t xml:space="preserve">demand-prep.skill</w:t>
            </w:r>
          </w:p>
        </w:tc>
        <w:tc>
          <w:tcPr>
            <w:tcW w:type="dxa" w:w="2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i/>
                <w:iCs/>
                <w:color w:val="0D7377"/>
                <w:sz w:val="16"/>
                <w:szCs w:val="16"/>
              </w:rPr>
              <w:t xml:space="preserve">S#011, S#012, S#055,
T#002, T#009, T#010</w:t>
            </w:r>
          </w:p>
        </w:tc>
        <w:tc>
          <w:tcPr>
            <w:tcW w:type="dxa" w:w="36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2C2C"/>
                <w:sz w:val="17"/>
                <w:szCs w:val="17"/>
              </w:rPr>
              <w:t xml:space="preserve">When a case hits demand phase, pulls the case file, medical timeline, and damages. Drafts the demand letter framework using T#002 template. Runs through T#009 (Demand Checklist) before flagging for attorney final review per S#012.</w:t>
            </w:r>
          </w:p>
        </w:tc>
      </w:tr>
      <w:tr>
        <w:tc>
          <w:tcPr>
            <w:tcW w:type="dxa" w:w="540"/>
            <w:tcBorders>
              <w:top w:val="single" w:color="CCCCCC" w:sz="1"/>
              <w:left w:val="single" w:color="CCCCCC" w:sz="1"/>
              <w:bottom w:val="single" w:color="CCCCCC" w:sz="1"/>
              <w:right w:val="single" w:color="CCCCCC" w:sz="1"/>
            </w:tcBorders>
            <w:shd w:fill="1A1A2E"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4</w:t>
            </w:r>
          </w:p>
        </w:tc>
        <w:tc>
          <w:tcPr>
            <w:tcW w:type="dxa" w:w="2460"/>
            <w:tcBorders>
              <w:top w:val="single" w:color="CCCCCC" w:sz="1"/>
              <w:left w:val="single" w:color="CCCCCC" w:sz="1"/>
              <w:bottom w:val="single" w:color="CCCCCC" w:sz="1"/>
              <w:right w:val="single" w:color="CCCCCC" w:sz="1"/>
            </w:tcBorders>
            <w:shd w:fill="E8E8E8" w:val="clear"/>
            <w:tcMar>
              <w:top w:type="dxa" w:w="70"/>
              <w:left w:type="dxa" w:w="100"/>
              <w:bottom w:type="dxa" w:w="70"/>
              <w:right w:type="dxa" w:w="100"/>
            </w:tcMar>
          </w:tcPr>
          <w:p>
            <w:r>
              <w:rPr>
                <w:rFonts w:ascii="Arial" w:cs="Arial" w:eastAsia="Arial" w:hAnsi="Arial"/>
                <w:b/>
                <w:bCs/>
                <w:color w:val="C0392B"/>
                <w:sz w:val="17"/>
                <w:szCs w:val="17"/>
              </w:rPr>
              <w:t xml:space="preserve">negotiation-strategy.skill</w:t>
            </w:r>
          </w:p>
        </w:tc>
        <w:tc>
          <w:tcPr>
            <w:tcW w:type="dxa" w:w="2700"/>
            <w:tcBorders>
              <w:top w:val="single" w:color="CCCCCC" w:sz="1"/>
              <w:left w:val="single" w:color="CCCCCC" w:sz="1"/>
              <w:bottom w:val="single" w:color="CCCCCC" w:sz="1"/>
              <w:right w:val="single" w:color="CCCCCC" w:sz="1"/>
            </w:tcBorders>
            <w:shd w:fill="E8E8E8" w:val="clear"/>
            <w:tcMar>
              <w:top w:type="dxa" w:w="70"/>
              <w:left w:type="dxa" w:w="100"/>
              <w:bottom w:type="dxa" w:w="70"/>
              <w:right w:type="dxa" w:w="100"/>
            </w:tcMar>
          </w:tcPr>
          <w:p>
            <w:r>
              <w:rPr>
                <w:rFonts w:ascii="Arial" w:cs="Arial" w:eastAsia="Arial" w:hAnsi="Arial"/>
                <w:i/>
                <w:iCs/>
                <w:color w:val="0D7377"/>
                <w:sz w:val="16"/>
                <w:szCs w:val="16"/>
              </w:rPr>
              <w:t xml:space="preserve">S#013, R#012, R#003,
R#006 Email Sequence</w:t>
            </w:r>
          </w:p>
        </w:tc>
        <w:tc>
          <w:tcPr>
            <w:tcW w:type="dxa" w:w="3660"/>
            <w:tcBorders>
              <w:top w:val="single" w:color="CCCCCC" w:sz="1"/>
              <w:left w:val="single" w:color="CCCCCC" w:sz="1"/>
              <w:bottom w:val="single" w:color="CCCCCC" w:sz="1"/>
              <w:right w:val="single" w:color="CCCCCC" w:sz="1"/>
            </w:tcBorders>
            <w:shd w:fill="E8E8E8" w:val="clear"/>
            <w:tcMar>
              <w:top w:type="dxa" w:w="70"/>
              <w:left w:type="dxa" w:w="100"/>
              <w:bottom w:type="dxa" w:w="70"/>
              <w:right w:type="dxa" w:w="100"/>
            </w:tcMar>
          </w:tcPr>
          <w:p>
            <w:r>
              <w:rPr>
                <w:rFonts w:ascii="Arial" w:cs="Arial" w:eastAsia="Arial" w:hAnsi="Arial"/>
                <w:color w:val="2C2C2C"/>
                <w:sz w:val="17"/>
                <w:szCs w:val="17"/>
              </w:rPr>
              <w:t xml:space="preserve">For any case in active negotiation, loads the carrier profile, offer history, and R#003 Case Matrix. Recommends the next move — counter-offer amount, escalation trigger, or settlement range — and drafts the negotiation email using R#006 sequence.</w:t>
            </w:r>
          </w:p>
        </w:tc>
      </w:tr>
      <w:tr>
        <w:tc>
          <w:tcPr>
            <w:tcW w:type="dxa" w:w="540"/>
            <w:tcBorders>
              <w:top w:val="single" w:color="CCCCCC" w:sz="1"/>
              <w:left w:val="single" w:color="CCCCCC" w:sz="1"/>
              <w:bottom w:val="single" w:color="CCCCCC" w:sz="1"/>
              <w:right w:val="single" w:color="CCCCCC" w:sz="1"/>
            </w:tcBorders>
            <w:shd w:fill="C0392B"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5</w:t>
            </w:r>
          </w:p>
        </w:tc>
        <w:tc>
          <w:tcPr>
            <w:tcW w:type="dxa" w:w="24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C0392B"/>
                <w:sz w:val="17"/>
                <w:szCs w:val="17"/>
              </w:rPr>
              <w:t xml:space="preserve">settlement-sheet.skill</w:t>
            </w:r>
          </w:p>
        </w:tc>
        <w:tc>
          <w:tcPr>
            <w:tcW w:type="dxa" w:w="2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i/>
                <w:iCs/>
                <w:color w:val="0D7377"/>
                <w:sz w:val="16"/>
                <w:szCs w:val="16"/>
              </w:rPr>
              <w:t xml:space="preserve">S#019, S#053, S#052,
T#013, T#016</w:t>
            </w:r>
          </w:p>
        </w:tc>
        <w:tc>
          <w:tcPr>
            <w:tcW w:type="dxa" w:w="36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2C2C"/>
                <w:sz w:val="17"/>
                <w:szCs w:val="17"/>
              </w:rPr>
              <w:t xml:space="preserve">When a case is ready to close, generates a draft settlement sheet (T#016), flags any liens to verify (S#053), and runs through the BI release process (S#052). Attorney reviews before anything is sent.</w:t>
            </w:r>
          </w:p>
        </w:tc>
      </w:tr>
      <w:tr>
        <w:tc>
          <w:tcPr>
            <w:tcW w:type="dxa" w:w="540"/>
            <w:tcBorders>
              <w:top w:val="single" w:color="CCCCCC" w:sz="1"/>
              <w:left w:val="single" w:color="CCCCCC" w:sz="1"/>
              <w:bottom w:val="single" w:color="CCCCCC" w:sz="1"/>
              <w:right w:val="single" w:color="CCCCCC" w:sz="1"/>
            </w:tcBorders>
            <w:shd w:fill="1A1A2E"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6</w:t>
            </w:r>
          </w:p>
        </w:tc>
        <w:tc>
          <w:tcPr>
            <w:tcW w:type="dxa" w:w="2460"/>
            <w:tcBorders>
              <w:top w:val="single" w:color="CCCCCC" w:sz="1"/>
              <w:left w:val="single" w:color="CCCCCC" w:sz="1"/>
              <w:bottom w:val="single" w:color="CCCCCC" w:sz="1"/>
              <w:right w:val="single" w:color="CCCCCC" w:sz="1"/>
            </w:tcBorders>
            <w:shd w:fill="E8E8E8" w:val="clear"/>
            <w:tcMar>
              <w:top w:type="dxa" w:w="70"/>
              <w:left w:type="dxa" w:w="100"/>
              <w:bottom w:type="dxa" w:w="70"/>
              <w:right w:type="dxa" w:w="100"/>
            </w:tcMar>
          </w:tcPr>
          <w:p>
            <w:r>
              <w:rPr>
                <w:rFonts w:ascii="Arial" w:cs="Arial" w:eastAsia="Arial" w:hAnsi="Arial"/>
                <w:b/>
                <w:bCs/>
                <w:color w:val="C0392B"/>
                <w:sz w:val="17"/>
                <w:szCs w:val="17"/>
              </w:rPr>
              <w:t xml:space="preserve">content-generator.skill</w:t>
            </w:r>
          </w:p>
        </w:tc>
        <w:tc>
          <w:tcPr>
            <w:tcW w:type="dxa" w:w="2700"/>
            <w:tcBorders>
              <w:top w:val="single" w:color="CCCCCC" w:sz="1"/>
              <w:left w:val="single" w:color="CCCCCC" w:sz="1"/>
              <w:bottom w:val="single" w:color="CCCCCC" w:sz="1"/>
              <w:right w:val="single" w:color="CCCCCC" w:sz="1"/>
            </w:tcBorders>
            <w:shd w:fill="E8E8E8" w:val="clear"/>
            <w:tcMar>
              <w:top w:type="dxa" w:w="70"/>
              <w:left w:type="dxa" w:w="100"/>
              <w:bottom w:type="dxa" w:w="70"/>
              <w:right w:type="dxa" w:w="100"/>
            </w:tcMar>
          </w:tcPr>
          <w:p>
            <w:r>
              <w:rPr>
                <w:rFonts w:ascii="Arial" w:cs="Arial" w:eastAsia="Arial" w:hAnsi="Arial"/>
                <w:i/>
                <w:iCs/>
                <w:color w:val="0D7377"/>
                <w:sz w:val="16"/>
                <w:szCs w:val="16"/>
              </w:rPr>
              <w:t xml:space="preserve">R#022, T#025, T#027,
T#026, R#030, R#031</w:t>
            </w:r>
          </w:p>
        </w:tc>
        <w:tc>
          <w:tcPr>
            <w:tcW w:type="dxa" w:w="3660"/>
            <w:tcBorders>
              <w:top w:val="single" w:color="CCCCCC" w:sz="1"/>
              <w:left w:val="single" w:color="CCCCCC" w:sz="1"/>
              <w:bottom w:val="single" w:color="CCCCCC" w:sz="1"/>
              <w:right w:val="single" w:color="CCCCCC" w:sz="1"/>
            </w:tcBorders>
            <w:shd w:fill="E8E8E8" w:val="clear"/>
            <w:tcMar>
              <w:top w:type="dxa" w:w="70"/>
              <w:left w:type="dxa" w:w="100"/>
              <w:bottom w:type="dxa" w:w="70"/>
              <w:right w:type="dxa" w:w="100"/>
            </w:tcMar>
          </w:tcPr>
          <w:p>
            <w:r>
              <w:rPr>
                <w:rFonts w:ascii="Arial" w:cs="Arial" w:eastAsia="Arial" w:hAnsi="Arial"/>
                <w:color w:val="2C2C2C"/>
                <w:sz w:val="17"/>
                <w:szCs w:val="17"/>
              </w:rPr>
              <w:t xml:space="preserve">Creates blog posts, GoHighLevel ad copy, social media content, and appointment warmup messages in Synergy's voice — English and Spanish. Pulls from voice-guides/ and your best-performing campaigns. Uses T#027 and R#030/R#031 for tone and structure.</w:t>
            </w:r>
          </w:p>
        </w:tc>
      </w:tr>
      <w:tr>
        <w:tc>
          <w:tcPr>
            <w:tcW w:type="dxa" w:w="540"/>
            <w:tcBorders>
              <w:top w:val="single" w:color="CCCCCC" w:sz="1"/>
              <w:left w:val="single" w:color="CCCCCC" w:sz="1"/>
              <w:bottom w:val="single" w:color="CCCCCC" w:sz="1"/>
              <w:right w:val="single" w:color="CCCCCC" w:sz="1"/>
            </w:tcBorders>
            <w:shd w:fill="C0392B"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7</w:t>
            </w:r>
          </w:p>
        </w:tc>
        <w:tc>
          <w:tcPr>
            <w:tcW w:type="dxa" w:w="24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C0392B"/>
                <w:sz w:val="17"/>
                <w:szCs w:val="17"/>
              </w:rPr>
              <w:t xml:space="preserve">competitor-intel.skill</w:t>
            </w:r>
          </w:p>
        </w:tc>
        <w:tc>
          <w:tcPr>
            <w:tcW w:type="dxa" w:w="2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i/>
                <w:iCs/>
                <w:color w:val="0D7377"/>
                <w:sz w:val="16"/>
                <w:szCs w:val="16"/>
              </w:rPr>
              <w:t xml:space="preserve">R#022, R#040 AI Ideas</w:t>
            </w:r>
          </w:p>
        </w:tc>
        <w:tc>
          <w:tcPr>
            <w:tcW w:type="dxa" w:w="36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2C2C2C"/>
                <w:sz w:val="17"/>
                <w:szCs w:val="17"/>
              </w:rPr>
              <w:t xml:space="preserve">Every Monday, checks what competing PI firms are saying in their ads and reviews. Outputs a short battle card with their weaknesses and a recommended messaging response for Synergy's campaigns.</w:t>
            </w:r>
          </w:p>
        </w:tc>
      </w:tr>
      <w:tr>
        <w:tc>
          <w:tcPr>
            <w:tcW w:type="dxa" w:w="540"/>
            <w:tcBorders>
              <w:top w:val="single" w:color="CCCCCC" w:sz="1"/>
              <w:left w:val="single" w:color="CCCCCC" w:sz="1"/>
              <w:bottom w:val="single" w:color="CCCCCC" w:sz="1"/>
              <w:right w:val="single" w:color="CCCCCC" w:sz="1"/>
            </w:tcBorders>
            <w:shd w:fill="1A1A2E" w:val="clear"/>
            <w:tcMar>
              <w:top w:type="dxa" w:w="70"/>
              <w:left w:type="dxa" w:w="80"/>
              <w:bottom w:type="dxa" w:w="70"/>
              <w:right w:type="dxa" w:w="80"/>
            </w:tcMar>
            <w:vAlign w:val="center"/>
          </w:tcPr>
          <w:p>
            <w:pPr>
              <w:jc w:val="center"/>
            </w:pPr>
            <w:r>
              <w:rPr>
                <w:rFonts w:ascii="Arial" w:cs="Arial" w:eastAsia="Arial" w:hAnsi="Arial"/>
                <w:b/>
                <w:bCs/>
                <w:color w:val="FFFFFF"/>
                <w:sz w:val="20"/>
                <w:szCs w:val="20"/>
              </w:rPr>
              <w:t xml:space="preserve">8</w:t>
            </w:r>
          </w:p>
        </w:tc>
        <w:tc>
          <w:tcPr>
            <w:tcW w:type="dxa" w:w="2460"/>
            <w:tcBorders>
              <w:top w:val="single" w:color="CCCCCC" w:sz="1"/>
              <w:left w:val="single" w:color="CCCCCC" w:sz="1"/>
              <w:bottom w:val="single" w:color="CCCCCC" w:sz="1"/>
              <w:right w:val="single" w:color="CCCCCC" w:sz="1"/>
            </w:tcBorders>
            <w:shd w:fill="E8E8E8" w:val="clear"/>
            <w:tcMar>
              <w:top w:type="dxa" w:w="70"/>
              <w:left w:type="dxa" w:w="100"/>
              <w:bottom w:type="dxa" w:w="70"/>
              <w:right w:type="dxa" w:w="100"/>
            </w:tcMar>
          </w:tcPr>
          <w:p>
            <w:r>
              <w:rPr>
                <w:rFonts w:ascii="Arial" w:cs="Arial" w:eastAsia="Arial" w:hAnsi="Arial"/>
                <w:b/>
                <w:bCs/>
                <w:color w:val="C0392B"/>
                <w:sz w:val="17"/>
                <w:szCs w:val="17"/>
              </w:rPr>
              <w:t xml:space="preserve">uim-demand.skill</w:t>
            </w:r>
          </w:p>
        </w:tc>
        <w:tc>
          <w:tcPr>
            <w:tcW w:type="dxa" w:w="2700"/>
            <w:tcBorders>
              <w:top w:val="single" w:color="CCCCCC" w:sz="1"/>
              <w:left w:val="single" w:color="CCCCCC" w:sz="1"/>
              <w:bottom w:val="single" w:color="CCCCCC" w:sz="1"/>
              <w:right w:val="single" w:color="CCCCCC" w:sz="1"/>
            </w:tcBorders>
            <w:shd w:fill="E8E8E8" w:val="clear"/>
            <w:tcMar>
              <w:top w:type="dxa" w:w="70"/>
              <w:left w:type="dxa" w:w="100"/>
              <w:bottom w:type="dxa" w:w="70"/>
              <w:right w:type="dxa" w:w="100"/>
            </w:tcMar>
          </w:tcPr>
          <w:p>
            <w:r>
              <w:rPr>
                <w:rFonts w:ascii="Arial" w:cs="Arial" w:eastAsia="Arial" w:hAnsi="Arial"/>
                <w:i/>
                <w:iCs/>
                <w:color w:val="0D7377"/>
                <w:sz w:val="16"/>
                <w:szCs w:val="16"/>
              </w:rPr>
              <w:t xml:space="preserve">S#041 UIM Demand Letter,
T#002, T#009</w:t>
            </w:r>
          </w:p>
        </w:tc>
        <w:tc>
          <w:tcPr>
            <w:tcW w:type="dxa" w:w="3660"/>
            <w:tcBorders>
              <w:top w:val="single" w:color="CCCCCC" w:sz="1"/>
              <w:left w:val="single" w:color="CCCCCC" w:sz="1"/>
              <w:bottom w:val="single" w:color="CCCCCC" w:sz="1"/>
              <w:right w:val="single" w:color="CCCCCC" w:sz="1"/>
            </w:tcBorders>
            <w:shd w:fill="E8E8E8" w:val="clear"/>
            <w:tcMar>
              <w:top w:type="dxa" w:w="70"/>
              <w:left w:type="dxa" w:w="100"/>
              <w:bottom w:type="dxa" w:w="70"/>
              <w:right w:type="dxa" w:w="100"/>
            </w:tcMar>
          </w:tcPr>
          <w:p>
            <w:r>
              <w:rPr>
                <w:rFonts w:ascii="Arial" w:cs="Arial" w:eastAsia="Arial" w:hAnsi="Arial"/>
                <w:color w:val="2C2C2C"/>
                <w:sz w:val="17"/>
                <w:szCs w:val="17"/>
              </w:rPr>
              <w:t xml:space="preserve">Handles UIM demand letters separately from standard BI demands. Follows the UIM-specific workflow, applies the correct template from T#002, and runs the S#041 checklist before routing to attorney review.</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0"/>
              <w:left w:val="single" w:color="D4A017" w:sz="10"/>
              <w:bottom w:val="single" w:color="CCCCCC" w:sz="1"/>
              <w:right w:val="single" w:color="CCCCCC" w:sz="1"/>
            </w:tcBorders>
            <w:shd w:fill="1A1A2E" w:val="clear"/>
            <w:tcMar>
              <w:top w:type="dxa" w:w="180"/>
              <w:left w:type="dxa" w:w="240"/>
              <w:bottom w:type="dxa" w:w="180"/>
              <w:right w:type="dxa" w:w="240"/>
            </w:tcMar>
          </w:tcPr>
          <w:p>
            <w:pPr>
              <w:spacing w:after="80" w:before="0"/>
              <w:jc w:val="center"/>
            </w:pPr>
            <w:r>
              <w:rPr>
                <w:rFonts w:ascii="Arial" w:cs="Arial" w:eastAsia="Arial" w:hAnsi="Arial"/>
                <w:b/>
                <w:bCs/>
                <w:color w:val="D4A017"/>
                <w:sz w:val="24"/>
                <w:szCs w:val="24"/>
              </w:rPr>
              <w:t xml:space="preserve">Your First 5 Days</w:t>
            </w:r>
          </w:p>
          <w:p>
            <w:pPr>
              <w:pStyle w:val="ListParagraph"/>
              <w:numPr>
                <w:ilvl w:val="0"/>
                <w:numId w:val="2"/>
              </w:numPr>
              <w:spacing w:after="36" w:before="36"/>
            </w:pPr>
            <w:r>
              <w:rPr>
                <w:rFonts w:ascii="Arial" w:cs="Arial" w:eastAsia="Arial" w:hAnsi="Arial"/>
                <w:color w:val="FFFFFF"/>
                <w:sz w:val="19"/>
                <w:szCs w:val="19"/>
              </w:rPr>
              <w:t xml:space="preserve">Day 1 — Install Claude Code (claude.ai/code). Create your GTM-Stack folder. Write your CLAUDE.md using the template on page 1.</w:t>
            </w:r>
          </w:p>
          <w:p>
            <w:pPr>
              <w:pStyle w:val="ListParagraph"/>
              <w:numPr>
                <w:ilvl w:val="0"/>
                <w:numId w:val="2"/>
              </w:numPr>
              <w:spacing w:after="36" w:before="36"/>
            </w:pPr>
            <w:r>
              <w:rPr>
                <w:rFonts w:ascii="Arial" w:cs="Arial" w:eastAsia="Arial" w:hAnsi="Arial"/>
                <w:color w:val="FFFFFF"/>
                <w:sz w:val="19"/>
                <w:szCs w:val="19"/>
              </w:rPr>
              <w:t xml:space="preserve">Day 2 — Build cases/auto-accident/ using R#003 and R#012. Build voice-guides/ from your GoHighLevel intake transcripts.</w:t>
            </w:r>
          </w:p>
          <w:p>
            <w:pPr>
              <w:pStyle w:val="ListParagraph"/>
              <w:numPr>
                <w:ilvl w:val="0"/>
                <w:numId w:val="2"/>
              </w:numPr>
              <w:spacing w:after="36" w:before="36"/>
            </w:pPr>
            <w:r>
              <w:rPr>
                <w:rFonts w:ascii="Arial" w:cs="Arial" w:eastAsia="Arial" w:hAnsi="Arial"/>
                <w:color w:val="FFFFFF"/>
                <w:sz w:val="19"/>
                <w:szCs w:val="19"/>
              </w:rPr>
              <w:t xml:space="preserve">Day 3 — Write intake-triage.skill based on S#042 and S#065. Test it against your last 10 accepted leads.</w:t>
            </w:r>
          </w:p>
          <w:p>
            <w:pPr>
              <w:pStyle w:val="ListParagraph"/>
              <w:numPr>
                <w:ilvl w:val="0"/>
                <w:numId w:val="2"/>
              </w:numPr>
              <w:spacing w:after="36" w:before="36"/>
            </w:pPr>
            <w:r>
              <w:rPr>
                <w:rFonts w:ascii="Arial" w:cs="Arial" w:eastAsia="Arial" w:hAnsi="Arial"/>
                <w:color w:val="FFFFFF"/>
                <w:sz w:val="19"/>
                <w:szCs w:val="19"/>
              </w:rPr>
              <w:t xml:space="preserve">Day 4 — Write client-update.skill using S#009 and T#023. Run it for one week of pending case updates and review the output.</w:t>
            </w:r>
          </w:p>
          <w:p>
            <w:pPr>
              <w:pStyle w:val="ListParagraph"/>
              <w:numPr>
                <w:ilvl w:val="0"/>
                <w:numId w:val="2"/>
              </w:numPr>
              <w:spacing w:after="36" w:before="36"/>
            </w:pPr>
            <w:r>
              <w:rPr>
                <w:rFonts w:ascii="Arial" w:cs="Arial" w:eastAsia="Arial" w:hAnsi="Arial"/>
                <w:color w:val="FFFFFF"/>
                <w:sz w:val="19"/>
                <w:szCs w:val="19"/>
              </w:rPr>
              <w:t xml:space="preserve">Day 5 — Build medical-providers/ folder from R#006. Add negotiations/ folder with carrier behavior notes from R#012.</w:t>
            </w:r>
          </w:p>
        </w:tc>
      </w:tr>
    </w:tbl>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4"/>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4"/>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4"/>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pPr>
    <w:r>
      <w:rPr>
        <w:rFonts w:ascii="Arial" w:cs="Arial" w:eastAsia="Arial" w:hAnsi="Arial"/>
        <w:color w:val="777777"/>
        <w:sz w:val="18"/>
        <w:szCs w:val="18"/>
      </w:rPr>
      <w:t xml:space="preserve">Synergy Legal  |  AI Foundation Blueprint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pPr>
    <w:r>
      <w:rPr>
        <w:rFonts w:ascii="Arial" w:cs="Arial" w:eastAsia="Arial" w:hAnsi="Arial"/>
        <w:color w:val="777777"/>
        <w:sz w:val="18"/>
        <w:szCs w:val="18"/>
      </w:rPr>
      <w:t xml:space="preserve">Synergy Legal  |  AI Foundation Blueprint  |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pPr>
    <w:r>
      <w:rPr>
        <w:rFonts w:ascii="Arial" w:cs="Arial" w:eastAsia="Arial" w:hAnsi="Arial"/>
        <w:color w:val="777777"/>
        <w:sz w:val="18"/>
        <w:szCs w:val="18"/>
      </w:rPr>
      <w:t xml:space="preserve">Synergy Legal  |  AI Foundation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2026-05-05T16:48:31.175Z</dcterms:created>
  <dcterms:modified xsi:type="dcterms:W3CDTF">2026-05-05T16:48:31.195Z</dcterms:modified>
</cp:coreProperties>
</file>

<file path=docProps/custom.xml><?xml version="1.0" encoding="utf-8"?>
<Properties xmlns="http://schemas.openxmlformats.org/officeDocument/2006/custom-properties" xmlns:vt="http://schemas.openxmlformats.org/officeDocument/2006/docPropsVTypes"/>
</file>