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Arial" w:cs="Arial" w:eastAsia="Arial" w:hAnsi="Arial"/>
          <w:b/>
          <w:bCs/>
          <w:sz w:val="32"/>
          <w:szCs w:val="32"/>
        </w:rPr>
        <w:t xml:space="preserve">Úvod</w:t>
      </w:r>
    </w:p>
    <w:p>
      <w:pPr>
        <w:pStyle w:val="Heading2"/>
        <w:spacing w:after="120" w:before="240"/>
      </w:pPr>
      <w:r>
        <w:rPr>
          <w:rFonts w:ascii="Arial" w:cs="Arial" w:eastAsia="Arial" w:hAnsi="Arial"/>
          <w:b/>
          <w:bCs/>
          <w:sz w:val="28"/>
          <w:szCs w:val="28"/>
        </w:rPr>
        <w:t xml:space="preserve">Řešený problém</w:t>
      </w:r>
    </w:p>
    <w:p>
      <w:pPr>
        <w:spacing w:after="120"/>
        <w:jc w:val="both"/>
      </w:pPr>
      <w:r>
        <w:rPr>
          <w:rFonts w:ascii="Arial" w:cs="Arial" w:eastAsia="Arial" w:hAnsi="Arial"/>
          <w:sz w:val="22"/>
          <w:szCs w:val="22"/>
        </w:rPr>
        <w:t xml:space="preserve">Arteriální hypertenze (vysoký krevní tlak) patří k nejčastějším chronickým onemocněním a je hlavním rizikovým faktorem cévní mozkové příhody, infarktu myokardu a selhání ledvin. V České republice ji podle studie EHES 2019 má 46 % mužů a 26 % žen ve věku 25–64 let. Nejde přitom jen o starší lidi: ve věkové skupině 25–34 let byla hypertenze zjištěna u 23 % mužů a 3 % žen [1].</w:t>
      </w:r>
    </w:p>
    <w:p>
      <w:pPr>
        <w:spacing w:after="120"/>
        <w:jc w:val="both"/>
      </w:pPr>
      <w:r>
        <w:rPr>
          <w:rFonts w:ascii="Arial" w:cs="Arial" w:eastAsia="Arial" w:hAnsi="Arial"/>
          <w:sz w:val="22"/>
          <w:szCs w:val="22"/>
        </w:rPr>
        <w:t xml:space="preserve">Velkým problémem je, že o své nemoci mnoho lidí neví nebo ji nemá pod kontrolou. Hypertenzi nediagnostikovanou mělo 39 % mužů a 28 % žen s vysokým tlakem a cílových hodnot dosáhlo jen 5 % léčených mužů a 21 % léčených žen [1]. U mladých dospělých je situace ještě horší: tlak si nechávají měřit méně často a mají nižší povědomí o nemoci i nižší podíl léčených než starší pacienti. Například studie z Indie u lidí ve věku 20–39 let zjistila povědomí o hypertenzi jen u 35 % nemocných oproti 64 % u starších [2]. Protože mladý člověk má před sebou desítky let, každý rok neléčené hypertenze zvyšuje celoživotní riziko komplikací.</w:t>
      </w:r>
    </w:p>
    <w:p>
      <w:pPr>
        <w:spacing w:after="120"/>
        <w:jc w:val="both"/>
      </w:pPr>
      <w:r>
        <w:rPr>
          <w:rFonts w:ascii="Arial" w:cs="Arial" w:eastAsia="Arial" w:hAnsi="Arial"/>
          <w:sz w:val="22"/>
          <w:szCs w:val="22"/>
        </w:rPr>
        <w:t xml:space="preserve">U mladých dospělých navíc hraje velkou roli životní styl – vysoký příjem soli, sedavé zaměstnání a nedostatek pohybu a rostoucí spotřeba energetických nápojů. Lékař přitom při běžné kontrole vidí jen jednu hodnotu tlaku naměřenou v ordinaci a o životosprávě pacienta mezi kontrolami ví jen to, co si pacient zapamatuje.</w:t>
      </w:r>
    </w:p>
    <w:p>
      <w:pPr>
        <w:pStyle w:val="Heading2"/>
        <w:spacing w:after="120" w:before="240"/>
      </w:pPr>
      <w:r>
        <w:rPr>
          <w:rFonts w:ascii="Arial" w:cs="Arial" w:eastAsia="Arial" w:hAnsi="Arial"/>
          <w:b/>
          <w:bCs/>
          <w:sz w:val="28"/>
          <w:szCs w:val="28"/>
        </w:rPr>
        <w:t xml:space="preserve">Úvod do problematiky</w:t>
      </w:r>
    </w:p>
    <w:p>
      <w:pPr>
        <w:spacing w:after="120"/>
        <w:jc w:val="both"/>
      </w:pPr>
      <w:r>
        <w:rPr>
          <w:rFonts w:ascii="Arial" w:cs="Arial" w:eastAsia="Arial" w:hAnsi="Arial"/>
          <w:b/>
          <w:bCs/>
          <w:sz w:val="22"/>
          <w:szCs w:val="22"/>
        </w:rPr>
        <w:t xml:space="preserve">Telemedicína a domácí měření. </w:t>
      </w:r>
      <w:r>
        <w:rPr>
          <w:rFonts w:ascii="Arial" w:cs="Arial" w:eastAsia="Arial" w:hAnsi="Arial"/>
          <w:sz w:val="22"/>
          <w:szCs w:val="22"/>
        </w:rPr>
        <w:t xml:space="preserve">Telemedicína umožňuje sledovat zdravotní stav pacienta na dálku. U hypertenze se uplatňuje hlavně domácí měření krevního tlaku, které doporučení Evropské společnosti pro hypertenzi (ESH) z roku 2023 považují za důležitý doplněk měření v ordinaci; za hypertenzi se u domácího měření považuje průměr ≥ 135/85 mmHg [3]. Samotné měření ale nestačí. Metaanalýza individuálních dat pacientů ukázala, že samotné domácí měření tlak výrazně nesnižuje, ale v kombinaci s další podporou – úpravou léčby lékařem, edukací a radami k životnímu stylu – snížilo systolický tlak o 6,1 mmHg a efekt trval nejméně 12 měsíců [4]. Telemedicínský systém proto musí měření propojit s lékařem, který na data reaguje.</w:t>
      </w:r>
    </w:p>
    <w:p>
      <w:pPr>
        <w:spacing w:after="120"/>
        <w:jc w:val="both"/>
      </w:pPr>
      <w:r>
        <w:rPr>
          <w:rFonts w:ascii="Arial" w:cs="Arial" w:eastAsia="Arial" w:hAnsi="Arial"/>
          <w:b/>
          <w:bCs/>
          <w:sz w:val="22"/>
          <w:szCs w:val="22"/>
        </w:rPr>
        <w:t xml:space="preserve">Sůl. </w:t>
      </w:r>
      <w:r>
        <w:rPr>
          <w:rFonts w:ascii="Arial" w:cs="Arial" w:eastAsia="Arial" w:hAnsi="Arial"/>
          <w:sz w:val="22"/>
          <w:szCs w:val="22"/>
        </w:rPr>
        <w:t xml:space="preserve">Světová zdravotnická organizace doporučuje dospělým nejvýše 5 g soli denně. Skutečná spotřeba v evropském regionu se přitom pohybuje mezi 8 a 19 g denně; snížení příjmu soli snižuje krevní tlak a riziko mozkové příhody a onemocnění srdce [5].</w:t>
      </w:r>
    </w:p>
    <w:p>
      <w:pPr>
        <w:spacing w:after="120"/>
        <w:jc w:val="both"/>
      </w:pPr>
      <w:r>
        <w:rPr>
          <w:rFonts w:ascii="Arial" w:cs="Arial" w:eastAsia="Arial" w:hAnsi="Arial"/>
          <w:b/>
          <w:bCs/>
          <w:sz w:val="22"/>
          <w:szCs w:val="22"/>
        </w:rPr>
        <w:t xml:space="preserve">Energetické nápoje. </w:t>
      </w:r>
      <w:r>
        <w:rPr>
          <w:rFonts w:ascii="Arial" w:cs="Arial" w:eastAsia="Arial" w:hAnsi="Arial"/>
          <w:sz w:val="22"/>
          <w:szCs w:val="22"/>
        </w:rPr>
        <w:t xml:space="preserve">Krátkodobá konzumace energetických nápojů zvyšuje systolický i diastolický krevní tlak a tepovou frekvenci, a to tím více, čím více kofeinu nápoj obsahuje. Spotřeba roste zejména mezi mladými lidmi a lidem s hypertenzí se doporučuje příjem omezit; dlouhodobé účinky zatím nejsou dostatečně prozkoumány [6].</w:t>
      </w:r>
    </w:p>
    <w:p>
      <w:pPr>
        <w:spacing w:after="120"/>
        <w:jc w:val="both"/>
      </w:pPr>
      <w:r>
        <w:rPr>
          <w:rFonts w:ascii="Arial" w:cs="Arial" w:eastAsia="Arial" w:hAnsi="Arial"/>
          <w:b/>
          <w:bCs/>
          <w:sz w:val="22"/>
          <w:szCs w:val="22"/>
        </w:rPr>
        <w:t xml:space="preserve">Pohyb. </w:t>
      </w:r>
      <w:r>
        <w:rPr>
          <w:rFonts w:ascii="Arial" w:cs="Arial" w:eastAsia="Arial" w:hAnsi="Arial"/>
          <w:sz w:val="22"/>
          <w:szCs w:val="22"/>
        </w:rPr>
        <w:t xml:space="preserve">Pravidelný vytrvalostní pohyb snižuje krevní tlak – u lidí s hypertenzí v průměru o 8,3 mmHg systolického a 5,2 mmHg diastolického tlaku [7]. Sledování fyzické aktivity proto do systému pro hypertoniky přirozeně patří.</w:t>
      </w:r>
    </w:p>
    <w:p>
      <w:pPr>
        <w:pStyle w:val="Heading2"/>
        <w:spacing w:after="120" w:before="240"/>
      </w:pPr>
      <w:r>
        <w:rPr>
          <w:rFonts w:ascii="Arial" w:cs="Arial" w:eastAsia="Arial" w:hAnsi="Arial"/>
          <w:b/>
          <w:bCs/>
          <w:sz w:val="28"/>
          <w:szCs w:val="28"/>
        </w:rPr>
        <w:t xml:space="preserve">Cíl a cílová skupina</w:t>
      </w:r>
    </w:p>
    <w:p>
      <w:pPr>
        <w:spacing w:after="120"/>
        <w:jc w:val="both"/>
      </w:pPr>
      <w:r>
        <w:rPr>
          <w:rFonts w:ascii="Arial" w:cs="Arial" w:eastAsia="Arial" w:hAnsi="Arial"/>
          <w:sz w:val="22"/>
          <w:szCs w:val="22"/>
        </w:rPr>
        <w:t xml:space="preserve">Cílem práce je navrhnout telemedicínský systém, který mladým dospělým (18–40 let) s léčenou hypertenzí usnadní pravidelné domácí měření tlaku a jejich lékaři umožní vidět tlak společně s fyzickou aktivitou a životosprávou – příjmem soli a energetických nápojů. Lékař dostává upozornění, když tlak překročí individuální limity pacienta, a může pacientovi posílat doporučení. Data se přenášejí do nemocničního informačního systému podle standardu HL7 FHIR.</w:t>
      </w:r>
    </w:p>
    <w:p>
      <w:pPr>
        <w:spacing w:after="120"/>
        <w:jc w:val="both"/>
      </w:pPr>
      <w:r>
        <w:rPr>
          <w:rFonts w:ascii="Arial" w:cs="Arial" w:eastAsia="Arial" w:hAnsi="Arial"/>
          <w:sz w:val="22"/>
          <w:szCs w:val="22"/>
        </w:rPr>
        <w:t xml:space="preserve">Systém není určen dětem a dospívajícím (mají jiné normy tlaku a o jejich datech rozhodují rodiče) ani těhotným ženám (hypertenze v těhotenství vyžaduje zvláštní péči). Systém nestanovuje diagnózu – pacient je vždy veden lékařem, který mimo jiné vylučuje sekundární příčiny hypertenze.</w:t>
      </w:r>
    </w:p>
    <w:p>
      <w:pPr>
        <w:pStyle w:val="Heading2"/>
        <w:spacing w:after="120" w:before="240"/>
      </w:pPr>
      <w:r>
        <w:rPr>
          <w:rFonts w:ascii="Arial" w:cs="Arial" w:eastAsia="Arial" w:hAnsi="Arial"/>
          <w:b/>
          <w:bCs/>
          <w:sz w:val="28"/>
          <w:szCs w:val="28"/>
        </w:rPr>
        <w:t xml:space="preserve">Přehled současných řešení</w:t>
      </w:r>
    </w:p>
    <w:p>
      <w:pPr>
        <w:spacing w:after="120"/>
        <w:jc w:val="both"/>
      </w:pPr>
      <w:r>
        <w:rPr>
          <w:rFonts w:ascii="Arial" w:cs="Arial" w:eastAsia="Arial" w:hAnsi="Arial"/>
          <w:b/>
          <w:bCs/>
          <w:sz w:val="22"/>
          <w:szCs w:val="22"/>
        </w:rPr>
        <w:t xml:space="preserve">Aplikace výrobců tlakoměrů. </w:t>
      </w:r>
      <w:r>
        <w:rPr>
          <w:rFonts w:ascii="Arial" w:cs="Arial" w:eastAsia="Arial" w:hAnsi="Arial"/>
          <w:sz w:val="22"/>
          <w:szCs w:val="22"/>
        </w:rPr>
        <w:t xml:space="preserve">Například aplikace OMRON connect ukládá měření z chytrých tlakoměrů výrobce, zobrazuje jejich vývoj, umožňuje sdílet data se zvolenými osobami včetně lékaře a nabízí edukační obsah a motivační prvky [8]. Je určena široké veřejnosti; záznam soli nebo energetických nápojů ani upozornění lékaři podle individuálních limitů neuvádí.</w:t>
      </w:r>
    </w:p>
    <w:p>
      <w:pPr>
        <w:spacing w:after="120"/>
        <w:jc w:val="both"/>
      </w:pPr>
      <w:r>
        <w:rPr>
          <w:rFonts w:ascii="Arial" w:cs="Arial" w:eastAsia="Arial" w:hAnsi="Arial"/>
          <w:b/>
          <w:bCs/>
          <w:sz w:val="22"/>
          <w:szCs w:val="22"/>
        </w:rPr>
        <w:t xml:space="preserve">Zdravotní platformy telefonů. </w:t>
      </w:r>
      <w:r>
        <w:rPr>
          <w:rFonts w:ascii="Arial" w:cs="Arial" w:eastAsia="Arial" w:hAnsi="Arial"/>
          <w:sz w:val="22"/>
          <w:szCs w:val="22"/>
        </w:rPr>
        <w:t xml:space="preserve">Platformy jako Apple Zdraví nebo Google Health Connect shromažďují data z různých zařízení a aplikací, včetně kroků a krevního tlaku. Slouží hlavně samotnému uživateli – nejsou to nástroje pro lékaře a nepropojují se s nemocničními systémy.</w:t>
      </w:r>
    </w:p>
    <w:p>
      <w:pPr>
        <w:spacing w:after="120"/>
        <w:jc w:val="both"/>
      </w:pPr>
      <w:r>
        <w:rPr>
          <w:rFonts w:ascii="Arial" w:cs="Arial" w:eastAsia="Arial" w:hAnsi="Arial"/>
          <w:b/>
          <w:bCs/>
          <w:sz w:val="22"/>
          <w:szCs w:val="22"/>
        </w:rPr>
        <w:t xml:space="preserve">Nemocniční telemonitorovací projekty. </w:t>
      </w:r>
      <w:r>
        <w:rPr>
          <w:rFonts w:ascii="Arial" w:cs="Arial" w:eastAsia="Arial" w:hAnsi="Arial"/>
          <w:sz w:val="22"/>
          <w:szCs w:val="22"/>
        </w:rPr>
        <w:t xml:space="preserve">V Česku se telemonitoring tlaku zkouší například v pilotním projektu Dětské kliniky FN a LF UP v Olomouci, kde děti s hypertenzí doma měřily tlak, tepovou frekvenci, hmotnost a kroky a data se ukládala do databáze projektu. Část pacientů snížila hmotnost i tlak; problémem byla nižší spolupráce, chyby při nahrávání dat a komunikace s lékařem [9].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600"/>
        <w:gridCol w:w="1700"/>
        <w:gridCol w:w="1726"/>
      </w:tblGrid>
      <w:tr>
        <w:trPr>
          <w:tblHeader/>
        </w:trPr>
        <w:tc>
          <w:tcPr>
            <w:tcW w:type="dxa" w:w="2300"/>
            <w:tcBorders>
              <w:top w:val="single" w:color="999999" w:sz="4"/>
              <w:left w:val="single" w:color="999999" w:sz="4"/>
              <w:bottom w:val="single" w:color="999999" w:sz="4"/>
              <w:right w:val="single" w:color="999999" w:sz="4"/>
            </w:tcBorders>
            <w:shd w:fill="1F4E78" w:color="auto" w:val="clear"/>
            <w:tcMar>
              <w:top w:type="dxa" w:w="50"/>
              <w:left w:type="dxa" w:w="80"/>
              <w:bottom w:type="dxa" w:w="50"/>
              <w:right w:type="dxa" w:w="80"/>
            </w:tcMar>
          </w:tcPr>
          <w:p>
            <w:r>
              <w:rPr>
                <w:rFonts w:ascii="Arial" w:cs="Arial" w:eastAsia="Arial" w:hAnsi="Arial"/>
                <w:b/>
                <w:bCs/>
                <w:color w:val="FFFFFF"/>
                <w:sz w:val="18"/>
                <w:szCs w:val="18"/>
              </w:rPr>
              <w:t xml:space="preserve">Vlastnost</w:t>
            </w:r>
          </w:p>
        </w:tc>
        <w:tc>
          <w:tcPr>
            <w:tcW w:type="dxa" w:w="1700"/>
            <w:tcBorders>
              <w:top w:val="single" w:color="999999" w:sz="4"/>
              <w:left w:val="single" w:color="999999" w:sz="4"/>
              <w:bottom w:val="single" w:color="999999" w:sz="4"/>
              <w:right w:val="single" w:color="999999" w:sz="4"/>
            </w:tcBorders>
            <w:shd w:fill="1F4E78" w:color="auto" w:val="clear"/>
            <w:tcMar>
              <w:top w:type="dxa" w:w="50"/>
              <w:left w:type="dxa" w:w="80"/>
              <w:bottom w:type="dxa" w:w="50"/>
              <w:right w:type="dxa" w:w="80"/>
            </w:tcMar>
          </w:tcPr>
          <w:p>
            <w:r>
              <w:rPr>
                <w:rFonts w:ascii="Arial" w:cs="Arial" w:eastAsia="Arial" w:hAnsi="Arial"/>
                <w:b/>
                <w:bCs/>
                <w:color w:val="FFFFFF"/>
                <w:sz w:val="18"/>
                <w:szCs w:val="18"/>
              </w:rPr>
              <w:t xml:space="preserve">Aplikace výrobce (OMRON connect)</w:t>
            </w:r>
          </w:p>
        </w:tc>
        <w:tc>
          <w:tcPr>
            <w:tcW w:type="dxa" w:w="1600"/>
            <w:tcBorders>
              <w:top w:val="single" w:color="999999" w:sz="4"/>
              <w:left w:val="single" w:color="999999" w:sz="4"/>
              <w:bottom w:val="single" w:color="999999" w:sz="4"/>
              <w:right w:val="single" w:color="999999" w:sz="4"/>
            </w:tcBorders>
            <w:shd w:fill="1F4E78" w:color="auto" w:val="clear"/>
            <w:tcMar>
              <w:top w:type="dxa" w:w="50"/>
              <w:left w:type="dxa" w:w="80"/>
              <w:bottom w:type="dxa" w:w="50"/>
              <w:right w:type="dxa" w:w="80"/>
            </w:tcMar>
          </w:tcPr>
          <w:p>
            <w:r>
              <w:rPr>
                <w:rFonts w:ascii="Arial" w:cs="Arial" w:eastAsia="Arial" w:hAnsi="Arial"/>
                <w:b/>
                <w:bCs/>
                <w:color w:val="FFFFFF"/>
                <w:sz w:val="18"/>
                <w:szCs w:val="18"/>
              </w:rPr>
              <w:t xml:space="preserve">Platformy telefonů</w:t>
            </w:r>
          </w:p>
        </w:tc>
        <w:tc>
          <w:tcPr>
            <w:tcW w:type="dxa" w:w="1700"/>
            <w:tcBorders>
              <w:top w:val="single" w:color="999999" w:sz="4"/>
              <w:left w:val="single" w:color="999999" w:sz="4"/>
              <w:bottom w:val="single" w:color="999999" w:sz="4"/>
              <w:right w:val="single" w:color="999999" w:sz="4"/>
            </w:tcBorders>
            <w:shd w:fill="1F4E78" w:color="auto" w:val="clear"/>
            <w:tcMar>
              <w:top w:type="dxa" w:w="50"/>
              <w:left w:type="dxa" w:w="80"/>
              <w:bottom w:type="dxa" w:w="50"/>
              <w:right w:type="dxa" w:w="80"/>
            </w:tcMar>
          </w:tcPr>
          <w:p>
            <w:r>
              <w:rPr>
                <w:rFonts w:ascii="Arial" w:cs="Arial" w:eastAsia="Arial" w:hAnsi="Arial"/>
                <w:b/>
                <w:bCs/>
                <w:color w:val="FFFFFF"/>
                <w:sz w:val="18"/>
                <w:szCs w:val="18"/>
              </w:rPr>
              <w:t xml:space="preserve">Nemocniční pilot (FN Olomouc)</w:t>
            </w:r>
          </w:p>
        </w:tc>
        <w:tc>
          <w:tcPr>
            <w:tcW w:type="dxa" w:w="1726"/>
            <w:tcBorders>
              <w:top w:val="single" w:color="999999" w:sz="4"/>
              <w:left w:val="single" w:color="999999" w:sz="4"/>
              <w:bottom w:val="single" w:color="999999" w:sz="4"/>
              <w:right w:val="single" w:color="999999" w:sz="4"/>
            </w:tcBorders>
            <w:shd w:fill="1F4E78" w:color="auto" w:val="clear"/>
            <w:tcMar>
              <w:top w:type="dxa" w:w="50"/>
              <w:left w:type="dxa" w:w="80"/>
              <w:bottom w:type="dxa" w:w="50"/>
              <w:right w:type="dxa" w:w="80"/>
            </w:tcMar>
          </w:tcPr>
          <w:p>
            <w:r>
              <w:rPr>
                <w:rFonts w:ascii="Arial" w:cs="Arial" w:eastAsia="Arial" w:hAnsi="Arial"/>
                <w:b/>
                <w:bCs/>
                <w:color w:val="FFFFFF"/>
                <w:sz w:val="18"/>
                <w:szCs w:val="18"/>
              </w:rPr>
              <w:t xml:space="preserve">Náš systém</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Přenos měření z tlakoměru</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(tlakoměry výrobce)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(data z různých zařízení)</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(BLE tlakoměr)</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Sdílení dat s lékařem</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(sdílení se zvolenými osobami)</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omezené</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 webový portál lékaře</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Upozornění lékaři podle individuálních limitů pacienta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neuvádí</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neuvádí</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 alerty s eskalací</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Záznam soli a energetických nápojů</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 (neuvádí)</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 (obecné záznamy výživy)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 rychlý záznam</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Fyzická aktivita (kroky)</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neuvádí</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Doporučení lékaře pacientovi v aplikaci</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komunikace s lékařem (dle pacientů problematická)</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Přenos do nemocničního systému (NIS)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ne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vlastní databáze projektu</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ano – HL7 FHIR</w:t>
            </w:r>
          </w:p>
        </w:tc>
      </w:tr>
      <w:tr>
        <w:tc>
          <w:tcPr>
            <w:tcW w:type="dxa" w:w="2300"/>
            <w:tcBorders>
              <w:top w:val="single" w:color="999999" w:sz="4"/>
              <w:left w:val="single" w:color="999999" w:sz="4"/>
              <w:bottom w:val="single" w:color="999999" w:sz="4"/>
              <w:right w:val="single" w:color="999999" w:sz="4"/>
            </w:tcBorders>
            <w:shd w:fill="F3F8FF" w:color="auto" w:val="clear"/>
            <w:tcMar>
              <w:top w:type="dxa" w:w="50"/>
              <w:left w:type="dxa" w:w="80"/>
              <w:bottom w:type="dxa" w:w="50"/>
              <w:right w:type="dxa" w:w="80"/>
            </w:tcMar>
          </w:tcPr>
          <w:p>
            <w:r>
              <w:rPr>
                <w:rFonts w:ascii="Arial" w:cs="Arial" w:eastAsia="Arial" w:hAnsi="Arial"/>
                <w:b/>
                <w:bCs/>
                <w:color w:val="000000"/>
                <w:sz w:val="18"/>
                <w:szCs w:val="18"/>
              </w:rPr>
              <w:t xml:space="preserve">Cílová skupina</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obecná</w:t>
            </w:r>
          </w:p>
        </w:tc>
        <w:tc>
          <w:tcPr>
            <w:tcW w:type="dxa" w:w="16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obecná</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děti s hypertenzí (pilot)</w:t>
            </w:r>
          </w:p>
        </w:tc>
        <w:tc>
          <w:tcPr>
            <w:tcW w:type="dxa" w:w="172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rFonts w:ascii="Arial" w:cs="Arial" w:eastAsia="Arial" w:hAnsi="Arial"/>
                <w:b w:val="false"/>
                <w:bCs w:val="false"/>
                <w:color w:val="000000"/>
                <w:sz w:val="18"/>
                <w:szCs w:val="18"/>
              </w:rPr>
              <w:t xml:space="preserve">mladí dospělí 18–40 let</w:t>
            </w:r>
          </w:p>
        </w:tc>
      </w:tr>
    </w:tbl>
    <w:p>
      <w:pPr>
        <w:spacing w:after="200" w:before="80"/>
        <w:jc w:val="center"/>
      </w:pPr>
      <w:r>
        <w:rPr>
          <w:rFonts w:ascii="Arial" w:cs="Arial" w:eastAsia="Arial" w:hAnsi="Arial"/>
          <w:i/>
          <w:iCs/>
          <w:sz w:val="20"/>
          <w:szCs w:val="20"/>
        </w:rPr>
        <w:t xml:space="preserve">Tabulka X: Srovnání současných řešení s navrženým systémem</w:t>
      </w:r>
    </w:p>
    <w:p>
      <w:pPr>
        <w:spacing w:after="120"/>
        <w:jc w:val="both"/>
      </w:pPr>
      <w:r>
        <w:rPr>
          <w:rFonts w:ascii="Arial" w:cs="Arial" w:eastAsia="Arial" w:hAnsi="Arial"/>
          <w:sz w:val="22"/>
          <w:szCs w:val="22"/>
        </w:rPr>
        <w:t xml:space="preserve">Ze srovnání vyplývá, že dostupná řešení buď slouží hlavně pacientovi (aplikace výrobců, platformy telefonů), nebo jde o malé pilotní projekty bez napojení na nemocniční systém. Žádné z nich nepropojuje domácí měření tlaku se záznamem soli a energetických nápojů, upozorněními podle individuálních limitů a přenosem do NIS a žádné se nezaměřuje na mladé dospělé. Tuto mezeru má navržený systém vyplnit.</w:t>
      </w:r>
    </w:p>
    <w:p>
      <w:pPr>
        <w:spacing w:after="100" w:before="240"/>
      </w:pPr>
      <w:r>
        <w:rPr>
          <w:rFonts w:ascii="Arial" w:cs="Arial" w:eastAsia="Arial" w:hAnsi="Arial"/>
          <w:b/>
          <w:bCs/>
          <w:sz w:val="22"/>
          <w:szCs w:val="22"/>
        </w:rPr>
        <w:t xml:space="preserve">Zdroje</w:t>
      </w:r>
    </w:p>
    <w:p>
      <w:pPr>
        <w:spacing w:after="100"/>
      </w:pPr>
      <w:r>
        <w:rPr>
          <w:rFonts w:ascii="Arial" w:cs="Arial" w:eastAsia="Arial" w:hAnsi="Arial"/>
          <w:sz w:val="20"/>
          <w:szCs w:val="20"/>
        </w:rPr>
        <w:t xml:space="preserve">[1] ČAPKOVÁ, Naďa a Michala LUSTIGOVÁ. Zdravotní stav české populace: výsledky studie EHES 2019 [online]. Praha: Státní zdravotní ústav, 2022. Dostupné z: https://szu.gov.cz/wp-content/uploads/2023/01/ehes2022.pdf</w:t>
      </w:r>
    </w:p>
    <w:p>
      <w:pPr>
        <w:spacing w:after="100"/>
      </w:pPr>
      <w:r>
        <w:rPr>
          <w:rFonts w:ascii="Arial" w:cs="Arial" w:eastAsia="Arial" w:hAnsi="Arial"/>
          <w:sz w:val="20"/>
          <w:szCs w:val="20"/>
        </w:rPr>
        <w:t xml:space="preserve">[2] ZACHARIAH, Geevar, Mangalath N. KRISHNAN, Kenchappa VENUGOPAL et al. Prevalence, Awareness, Treatment, and Control of Hypertension in Young Adults (20–39 Years) in Kerala, South India. Frontiers in Cardiovascular Medicine. 2022, roč. 9, 765442. DOI: 10.3389/fcvm.2022.765442.</w:t>
      </w:r>
    </w:p>
    <w:p>
      <w:pPr>
        <w:spacing w:after="100"/>
      </w:pPr>
      <w:r>
        <w:rPr>
          <w:rFonts w:ascii="Arial" w:cs="Arial" w:eastAsia="Arial" w:hAnsi="Arial"/>
          <w:sz w:val="20"/>
          <w:szCs w:val="20"/>
        </w:rPr>
        <w:t xml:space="preserve">[3] MANCIA, Giuseppe, Reinhold KREUTZ, Mattias BRUNSTRÖM et al. 2023 ESH Guidelines for the management of arterial hypertension. Journal of Hypertension. 2023, roč. 41, č. 12, s. 1874–2071. DOI: 10.1097/HJH.0000000000003621.</w:t>
      </w:r>
    </w:p>
    <w:p>
      <w:pPr>
        <w:spacing w:after="100"/>
      </w:pPr>
      <w:r>
        <w:rPr>
          <w:rFonts w:ascii="Arial" w:cs="Arial" w:eastAsia="Arial" w:hAnsi="Arial"/>
          <w:sz w:val="20"/>
          <w:szCs w:val="20"/>
        </w:rPr>
        <w:t xml:space="preserve">[4] TUCKER, Katherine L., James P. SHEPPARD, Richard STEVENS et al. Self-monitoring of blood pressure in hypertension: A systematic review and individual patient data meta-analysis. PLoS Medicine. 2017, roč. 14, č. 9, e1002389. DOI: 10.1371/journal.pmed.1002389.</w:t>
      </w:r>
    </w:p>
    <w:p>
      <w:pPr>
        <w:spacing w:after="100"/>
      </w:pPr>
      <w:r>
        <w:rPr>
          <w:rFonts w:ascii="Arial" w:cs="Arial" w:eastAsia="Arial" w:hAnsi="Arial"/>
          <w:sz w:val="20"/>
          <w:szCs w:val="20"/>
        </w:rPr>
        <w:t xml:space="preserve">[5] WHO REGIONAL OFFICE FOR EUROPE. 5 recommendations to reduce salt intake to live longer and healthier lives [online]. 14. 3. 2022. Dostupné z: https://www.who.int/europe/news/item/14-03-2022-5-recommendations-to-reduce-salt-intake-to-live-longer-and-healthier-lives</w:t>
      </w:r>
    </w:p>
    <w:p>
      <w:pPr>
        <w:spacing w:after="100"/>
      </w:pPr>
      <w:r>
        <w:rPr>
          <w:rFonts w:ascii="Arial" w:cs="Arial" w:eastAsia="Arial" w:hAnsi="Arial"/>
          <w:sz w:val="20"/>
          <w:szCs w:val="20"/>
        </w:rPr>
        <w:t xml:space="preserve">[6] SOVOVÁ, M. a E. SOVOVÁ. Blood pressure and energy drinks. Vnitřní lékařství. 2026, roč. 72, č. 1, s. 52–55. DOI: 10.36290/vnl.2026.008.</w:t>
      </w:r>
    </w:p>
    <w:p>
      <w:pPr>
        <w:spacing w:after="100"/>
      </w:pPr>
      <w:r>
        <w:rPr>
          <w:rFonts w:ascii="Arial" w:cs="Arial" w:eastAsia="Arial" w:hAnsi="Arial"/>
          <w:sz w:val="20"/>
          <w:szCs w:val="20"/>
        </w:rPr>
        <w:t xml:space="preserve">[7] CORNELISSEN, Véronique A. a Neil A. SMART. Exercise training for blood pressure: a systematic review and meta-analysis. Journal of the American Heart Association. 2013, roč. 2, č. 1, e004473. DOI: 10.1161/JAHA.112.004473.</w:t>
      </w:r>
    </w:p>
    <w:p>
      <w:pPr>
        <w:spacing w:after="100"/>
      </w:pPr>
      <w:r>
        <w:rPr>
          <w:rFonts w:ascii="Arial" w:cs="Arial" w:eastAsia="Arial" w:hAnsi="Arial"/>
          <w:sz w:val="20"/>
          <w:szCs w:val="20"/>
        </w:rPr>
        <w:t xml:space="preserve">[8] OMRON HEALTHCARE. OMRON connect – Fact Sheet (CES 2023) [online]. 2023. Dostupné z: https://omronhealthcare.com/wp-content/uploads/CES2023-OMRON-Connect-Fact-Sheet.pdf</w:t>
      </w:r>
    </w:p>
    <w:p>
      <w:pPr>
        <w:spacing w:after="100"/>
      </w:pPr>
      <w:r>
        <w:rPr>
          <w:rFonts w:ascii="Arial" w:cs="Arial" w:eastAsia="Arial" w:hAnsi="Arial"/>
          <w:sz w:val="20"/>
          <w:szCs w:val="20"/>
        </w:rPr>
        <w:t xml:space="preserve">[9] KODEŠ, J. a K. ZÁSTĚROVÁ. Telemedicína v pediatrii se zaměřením na kardiologii [poster]. Olomouc: Dětská klinika FN a LF UP v Olomouci, 2023. Dostupné z: https://www.lf.upol.cz/files/userdata/LF/VaV/SVOC/postery/2023/klinicke/Kodes_J.__Zasterova_K..pdf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2026-10-30T08:22:37.993Z</dcterms:created>
  <dcterms:modified xsi:type="dcterms:W3CDTF">2026-10-30T08:22:37.996Z</dcterms:modified>
</cp:coreProperties>
</file>

<file path=docProps/custom.xml><?xml version="1.0" encoding="utf-8"?>
<Properties xmlns="http://schemas.openxmlformats.org/officeDocument/2006/custom-properties" xmlns:vt="http://schemas.openxmlformats.org/officeDocument/2006/docPropsVTypes"/>
</file>