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Bezpečnost a ochrana osobních údajů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Systém zpracovává údaje o zdravotním stavu, které patří mezi zvláštní kategorie osobních údajů podle obecného nařízení o ochraně osobních údajů (GDPR, čl. 9). Bezpečnost je proto společným požadavkem všech částí systému. Tato podkapitola popisuje pravidla, která platí pro celý systém; kapitoly jednotlivých bloků na ni odkazují.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Přihlášení a oprávnění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Autentizace: </w:t>
      </w:r>
      <w:r>
        <w:rPr>
          <w:rFonts w:ascii="Arial" w:cs="Arial" w:eastAsia="Arial" w:hAnsi="Arial"/>
          <w:sz w:val="22"/>
          <w:szCs w:val="22"/>
        </w:rPr>
        <w:t xml:space="preserve">přihlášení heslem doplněným druhým faktorem (časově omezený kód z ověřovací aplikace, TOTP). Ověřování zajišťuje centrální poskytovatel identit podle standardu OAuth 2.0 / OpenID Connect; klienti dostávají krátce platné přístupové tokeny a obnovovací tokeny.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Autorizace: </w:t>
      </w:r>
      <w:r>
        <w:rPr>
          <w:rFonts w:ascii="Arial" w:cs="Arial" w:eastAsia="Arial" w:hAnsi="Arial"/>
          <w:sz w:val="22"/>
          <w:szCs w:val="22"/>
        </w:rPr>
        <w:t xml:space="preserve">oprávnění se řídí rolemi pacient, lékař a administrátor podle matice oprávnění (kapitola Webový portál) a kontrolují se na serveru u každého požadavku. Lékař má přístup jen k pacientům, kteří jsou mu přiřazeni; pacient jen ke svým údajům; administrátor spravuje účty, ale zdravotní údaje nevidí.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 nejmenších oprávnění: </w:t>
      </w:r>
      <w:r>
        <w:rPr>
          <w:rFonts w:ascii="Arial" w:cs="Arial" w:eastAsia="Arial" w:hAnsi="Arial"/>
          <w:sz w:val="22"/>
          <w:szCs w:val="22"/>
        </w:rPr>
        <w:t xml:space="preserve">každá část systému i každý databázový účet má jen ta práva, která nezbytně potřebuje (např. integrátor čte jen měření a zapisuje jen stav synchronizace).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Šifrování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Přenos: </w:t>
      </w:r>
      <w:r>
        <w:rPr>
          <w:rFonts w:ascii="Arial" w:cs="Arial" w:eastAsia="Arial" w:hAnsi="Arial"/>
          <w:sz w:val="22"/>
          <w:szCs w:val="22"/>
        </w:rPr>
        <w:t xml:space="preserve">veškerá komunikace mezi aplikací, portálem, WEB API a NIS probíhá šifrovaně (HTTPS/TLS). Tlakoměr se s telefonem páruje přes zabezpečené Bluetooth spojení.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Uložení: </w:t>
      </w:r>
      <w:r>
        <w:rPr>
          <w:rFonts w:ascii="Arial" w:cs="Arial" w:eastAsia="Arial" w:hAnsi="Arial"/>
          <w:sz w:val="22"/>
          <w:szCs w:val="22"/>
        </w:rPr>
        <w:t xml:space="preserve">hesla se ukládají jen jako bezpečné hashe (Argon2id), tajemství pro druhý faktor a citlivá data v databázi jsou šifrovaná, stejně jako zálohy. V telefonu jsou tokeny v zabezpečeném úložišti a lokální data šifrovaná.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Tajné údaje </w:t>
      </w:r>
      <w:r>
        <w:rPr>
          <w:rFonts w:ascii="Arial" w:cs="Arial" w:eastAsia="Arial" w:hAnsi="Arial"/>
          <w:sz w:val="22"/>
          <w:szCs w:val="22"/>
        </w:rPr>
        <w:t xml:space="preserve">(hesla k databázi, klíče, certifikáty) nejsou v repozitáři ani v konfiguraci aplikací, ale v zabezpečeném úložišti tajemství serveru.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 a dohledatelnost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Každý přístup ke zdravotním údajům pacienta (zobrazení detailu, export, změna) se zapisuje do auditního logu: kdo, kdy, k jakým datům a jakou akci provedl. Opravy měření se ukládají do historie změn s původní i novou hodnotou a důvodem. Záznamy měření se nemažou, pouze opravují. Auditní log prohlíží jen administrátor; logy ani e-mailové notifikace neobsahují hesla, tajemství ani zdravotní údaje.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Ochrana osobních údajů (GDPR)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Zpracovávané údaje: </w:t>
      </w:r>
      <w:r>
        <w:rPr>
          <w:rFonts w:ascii="Arial" w:cs="Arial" w:eastAsia="Arial" w:hAnsi="Arial"/>
          <w:sz w:val="22"/>
          <w:szCs w:val="22"/>
        </w:rPr>
        <w:t xml:space="preserve">identifikační a kontaktní údaje (jméno, e-mail, datum narození, identifikátor v NIS), zdravotní údaje (krevní tlak, puls, nepravidelný rytmus), údaje o životním stylu (kroky, sůl, energetické nápoje) a doporučení lékaře.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Souhlas a informování: </w:t>
      </w:r>
      <w:r>
        <w:rPr>
          <w:rFonts w:ascii="Arial" w:cs="Arial" w:eastAsia="Arial" w:hAnsi="Arial"/>
          <w:sz w:val="22"/>
          <w:szCs w:val="22"/>
        </w:rPr>
        <w:t xml:space="preserve">pacient je při registraci srozumitelně informován, jaké údaje se zpracovávají, k jakému účelu a kdo k nim má přístup, a se zpracováním souhlasí. Systém shromažďuje jen údaje potřebné k péči o hypertenzi (minimalizace údajů).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Práva pacienta: </w:t>
      </w:r>
      <w:r>
        <w:rPr>
          <w:rFonts w:ascii="Arial" w:cs="Arial" w:eastAsia="Arial" w:hAnsi="Arial"/>
          <w:sz w:val="22"/>
          <w:szCs w:val="22"/>
        </w:rPr>
        <w:t xml:space="preserve">přístup ke svým údajům a jejich export (PDF/CSV v portálu), oprava nesprávných údajů (prostřednictvím lékaře, s historií změn) a žádost o výmaz. Údaje již předané do zdravotnické dokumentace v NIS se řídí pravidly nemocnice pro zdravotnickou dokumentaci.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Doba uchování: </w:t>
      </w:r>
      <w:r>
        <w:rPr>
          <w:rFonts w:ascii="Arial" w:cs="Arial" w:eastAsia="Arial" w:hAnsi="Arial"/>
          <w:sz w:val="22"/>
          <w:szCs w:val="22"/>
        </w:rPr>
        <w:t xml:space="preserve">bude stanovena týmem a provozovatelem (otevřený bod, požadavek NFP-16).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Vývoj a testování: </w:t>
      </w:r>
      <w:r>
        <w:rPr>
          <w:rFonts w:ascii="Arial" w:cs="Arial" w:eastAsia="Arial" w:hAnsi="Arial"/>
          <w:sz w:val="22"/>
          <w:szCs w:val="22"/>
        </w:rPr>
        <w:t xml:space="preserve">používají se výhradně syntetická data, nikoliv údaje skutečných pacientů.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Porušení zabezpečení: </w:t>
      </w:r>
      <w:r>
        <w:rPr>
          <w:rFonts w:ascii="Arial" w:cs="Arial" w:eastAsia="Arial" w:hAnsi="Arial"/>
          <w:sz w:val="22"/>
          <w:szCs w:val="22"/>
        </w:rPr>
        <w:t xml:space="preserve">při úniku dat provozovatel postupuje podle GDPR – incident vyhodnotí, zdokumentuje a v případě rizika ohlásí dozorovému úřadu do 72 hodin.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Před ostrým provozem doporučujeme provést posouzení vlivu na ochranu osobních údajů (DPIA), protože systém zpracovává zdravotní údaje ve větším rozsahu.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Zabezpečení podle částí systému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Část systému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Hlavní bezpečnostní opatření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Pacientská aplikace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Tokeny v zabezpečeném úložišti telefonu; lokálně uložená data šifrovaná; párování tlakoměru přes zabezpečené BLE; s databází nekomunikuje přímo, jen přes WEB API.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Webový portál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Dvoufaktorové přihlášení; automatické odhlášení po 15 minutách nečinnosti; komunikace jen přes WEB API; pacient data pouze prohlíží; administrátor nevidí zdravotní údaje.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 API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Ověření tokenu a oprávnění u každého požadavku; validace vstupů; omezení počtu pokusů o přihlášení; zápis přístupů ke zdravotním údajům do auditního logu; opravy s historií změn.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Databáze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Hesla jako hashe (Argon2id), tajemství MFA šifrované; šifrování citlivých dat a záloh; oddělené účty s minimálními oprávněními.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Integrátor NIS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Samostatný DB účet (čtení měření, zápis jen do NisSynchronizace); komunikace s NIS přes HTTPS s ověřením systému; e-maily a log bez zdravotních údajů.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Bezpečnostní opatření v jednotlivých částech systému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Bezpečnost se ověřuje bezpečnostními testy popsanými v kapitole Testování (např. přístup k cizímu pacientovi, dvoufaktorové přihlášení, ochrana tokenů).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2026-10-30T08:31:57.063Z</dcterms:created>
  <dcterms:modified xsi:type="dcterms:W3CDTF">2026-10-30T08:31:57.072Z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