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spacing w:after="120"/>
      </w:pPr>
      <w:r>
        <w:rPr>
          <w:rFonts w:ascii="Arial" w:cs="Arial" w:eastAsia="Arial" w:hAnsi="Arial"/>
          <w:b/>
          <w:bCs/>
          <w:sz w:val="24"/>
          <w:szCs w:val="24"/>
        </w:rPr>
        <w:t xml:space="preserve">Stavový diagram – životní cyklus alertu</w:t>
      </w:r>
    </w:p>
    <w:p>
      <w:pPr>
        <w:spacing w:after="120"/>
        <w:jc w:val="both"/>
      </w:pPr>
      <w:r>
        <w:rPr>
          <w:rFonts w:ascii="Arial" w:cs="Arial" w:eastAsia="Arial" w:hAnsi="Arial"/>
          <w:sz w:val="22"/>
          <w:szCs w:val="22"/>
        </w:rPr>
        <w:t xml:space="preserve">Stavový diagram (obrázek X) popisuje životní cyklus alertu. Alert vytvoří WEB API, když naměřená hodnota překročí limit nastavený lékařem, když pacient několik dní neměřil nebo když tlakoměr zachytí nepravidelný rytmus. API alert nejprve uloží (stav Vytvořen) a teprve poté odešle notifikaci; alert se tak neztratí ani při selhání odeslání. Lékař dostane upozornění v portálu, u urgentních alertů navíc e-mailem (stav Odeslán lékaři). Když lékař otevře detail alertu, alert přejde do stavu Zobrazen a přístup se zapíše do auditního logu. Lékař alert převezme (Řeší se), vyhodnotí data o tlaku, aktivitě a životosprávě a může pacientovi zapsat doporučení. Alert pak označí jako vyřešený, nebo jako zrušený, pokud šlo o chybné měření.</w:t>
      </w:r>
    </w:p>
    <w:p>
      <w:pPr>
        <w:spacing w:after="120"/>
        <w:jc w:val="both"/>
      </w:pPr>
      <w:r>
        <w:rPr>
          <w:rFonts w:ascii="Arial" w:cs="Arial" w:eastAsia="Arial" w:hAnsi="Arial"/>
          <w:sz w:val="22"/>
          <w:szCs w:val="22"/>
        </w:rPr>
        <w:t xml:space="preserve">Urgentní alert, který lékař v ordinační době do 2 hodin neotevře a nepřevezme, se eskaluje: systém ho předá zástupci lékaře. Mimo ordinační dobu se urgentní alert předá zástupci ihned. Dobu eskalace nastavuje administrátor jako parametr systému.</w:t>
      </w:r>
    </w:p>
    <w:p>
      <w:pPr>
        <w:spacing w:after="120"/>
        <w:jc w:val="both"/>
      </w:pPr>
      <w:r>
        <w:rPr>
          <w:rFonts w:ascii="Arial" w:cs="Arial" w:eastAsia="Arial" w:hAnsi="Arial"/>
          <w:sz w:val="22"/>
          <w:szCs w:val="22"/>
        </w:rPr>
        <w:t xml:space="preserve">Výchozí limity vycházejí z doporučení ESH z roku 2023: průměr domácích měření ≥ 135/85 mmHg odpovídá hranici hypertenze pro domácí měření a hodnota ≥ 180/110 mmHg odpovídá hypertenzi 3. stupně, proto vyvolá urgentní alert [1], [3]. Urgentní alert neznamená diagnózu hypertenzní emergence, která je definována až přítomností akutního poškození orgánů [2]; systém v tom případě pacienta vyzve ke kontaktu s lékařem a při potížích k volání 155. Limit pro nízký tlak (&lt; 90/60 mmHg) a počet dní bez měření (3) jsou výchozí hodnoty navržené týmem. Všechny limity může lékař pacientovi individuálně upravit.</w:t>
      </w:r>
    </w:p>
    <w:p>
      <w:pPr>
        <w:spacing w:after="100" w:before="200"/>
      </w:pPr>
      <w:r>
        <w:rPr>
          <w:rFonts w:ascii="Arial" w:cs="Arial" w:eastAsia="Arial" w:hAnsi="Arial"/>
          <w:b/>
          <w:bCs/>
          <w:sz w:val="22"/>
          <w:szCs w:val="22"/>
        </w:rPr>
        <w:t xml:space="preserve">Zdroje</w:t>
      </w:r>
    </w:p>
    <w:p>
      <w:pPr>
        <w:spacing w:after="120"/>
        <w:jc w:val="left"/>
      </w:pPr>
      <w:r>
        <w:rPr>
          <w:rFonts w:ascii="Arial" w:cs="Arial" w:eastAsia="Arial" w:hAnsi="Arial"/>
          <w:sz w:val="22"/>
          <w:szCs w:val="22"/>
        </w:rPr>
        <w:t xml:space="preserve">[1] MANCIA, Giuseppe, Reinhold KREUTZ, Mattias BRUNSTRÖM et al. 2023 ESH Guidelines for the management of arterial hypertension: The Task Force for the management of arterial hypertension of the European Society of Hypertension. </w:t>
      </w:r>
      <w:r>
        <w:rPr>
          <w:rFonts w:ascii="Arial" w:cs="Arial" w:eastAsia="Arial" w:hAnsi="Arial"/>
          <w:i/>
          <w:iCs/>
          <w:sz w:val="22"/>
          <w:szCs w:val="22"/>
        </w:rPr>
        <w:t xml:space="preserve">Journal of Hypertension</w:t>
      </w:r>
      <w:r>
        <w:rPr>
          <w:rFonts w:ascii="Arial" w:cs="Arial" w:eastAsia="Arial" w:hAnsi="Arial"/>
          <w:sz w:val="22"/>
          <w:szCs w:val="22"/>
        </w:rPr>
        <w:t xml:space="preserve">. 2023, roč. 41, č. 12, s. 1874–2071. DOI: 10.1097/HJH.0000000000003621.</w:t>
      </w:r>
    </w:p>
    <w:p>
      <w:pPr>
        <w:spacing w:after="120"/>
        <w:jc w:val="left"/>
      </w:pPr>
      <w:r>
        <w:rPr>
          <w:rFonts w:ascii="Arial" w:cs="Arial" w:eastAsia="Arial" w:hAnsi="Arial"/>
          <w:sz w:val="22"/>
          <w:szCs w:val="22"/>
        </w:rPr>
        <w:t xml:space="preserve">[2] VAN DEN BORN, Bert-Jan, Gregory Y. H. LIP, Jana BRGULJAN-HITIJ et al. ESC Council on hypertension position document on the management of hypertensive emergencies. </w:t>
      </w:r>
      <w:r>
        <w:rPr>
          <w:rFonts w:ascii="Arial" w:cs="Arial" w:eastAsia="Arial" w:hAnsi="Arial"/>
          <w:i/>
          <w:iCs/>
          <w:sz w:val="22"/>
          <w:szCs w:val="22"/>
        </w:rPr>
        <w:t xml:space="preserve">European Heart Journal – Cardiovascular Pharmacotherapy</w:t>
      </w:r>
      <w:r>
        <w:rPr>
          <w:rFonts w:ascii="Arial" w:cs="Arial" w:eastAsia="Arial" w:hAnsi="Arial"/>
          <w:sz w:val="22"/>
          <w:szCs w:val="22"/>
        </w:rPr>
        <w:t xml:space="preserve">. 2019, roč. 5, č. 1, s. 37–46. DOI: 10.1093/ehjcvp/pvy032.</w:t>
      </w:r>
    </w:p>
    <w:p>
      <w:pPr>
        <w:spacing w:after="120"/>
        <w:jc w:val="left"/>
      </w:pPr>
      <w:r>
        <w:rPr>
          <w:rFonts w:ascii="Arial" w:cs="Arial" w:eastAsia="Arial" w:hAnsi="Arial"/>
          <w:sz w:val="22"/>
          <w:szCs w:val="22"/>
        </w:rPr>
        <w:t xml:space="preserve">[3] LAUDER, Lucas, Thomas WEBER, Michael BÖHM et al. European guidelines for hypertension in 2024: a comparison of key recommendations for clinical practice. </w:t>
      </w:r>
      <w:r>
        <w:rPr>
          <w:rFonts w:ascii="Arial" w:cs="Arial" w:eastAsia="Arial" w:hAnsi="Arial"/>
          <w:i/>
          <w:iCs/>
          <w:sz w:val="22"/>
          <w:szCs w:val="22"/>
        </w:rPr>
        <w:t xml:space="preserve">Nature Reviews Cardiology</w:t>
      </w:r>
      <w:r>
        <w:rPr>
          <w:rFonts w:ascii="Arial" w:cs="Arial" w:eastAsia="Arial" w:hAnsi="Arial"/>
          <w:sz w:val="22"/>
          <w:szCs w:val="22"/>
        </w:rPr>
        <w:t xml:space="preserve">. 2025. DOI: 10.1038/s41569-025-01187-2.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2026-10-29T14:00:48.607Z</dcterms:created>
  <dcterms:modified xsi:type="dcterms:W3CDTF">2026-10-29T14:00:48.614Z</dcterms:modified>
</cp:coreProperties>
</file>

<file path=docProps/custom.xml><?xml version="1.0" encoding="utf-8"?>
<Properties xmlns="http://schemas.openxmlformats.org/officeDocument/2006/custom-properties" xmlns:vt="http://schemas.openxmlformats.org/officeDocument/2006/docPropsVTypes"/>
</file>