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one"/>
          <w:bottom w:val="none"/>
        </w:pBdr>
        <w:shd w:fill="1B3A6B" w:color="auto" w:val="clear"/>
        <w:spacing w:after="0" w:before="0"/>
        <w:ind w:left="0" w:right="0"/>
        <w:jc w:val="center"/>
      </w:pPr>
      <w:r>
        <w:rPr>
          <w:b/>
          <w:bCs/>
          <w:color w:val="FFFFFF"/>
          <w:sz w:val="48"/>
          <w:szCs w:val="48"/>
        </w:rPr>
        <w:t xml:space="preserve">Competitor Watchdog</w:t>
      </w:r>
    </w:p>
    <w:p>
      <w:pPr>
        <w:shd w:fill="1B3A6B" w:color="auto" w:val="clear"/>
        <w:spacing w:after="240" w:before="0"/>
        <w:jc w:val="center"/>
      </w:pPr>
      <w:r>
        <w:rPr>
          <w:color w:val="FFFFFF"/>
          <w:sz w:val="22"/>
          <w:szCs w:val="22"/>
        </w:rPr>
        <w:t xml:space="preserve">2026-08-24  •  MarketBeat.com  &amp;  StockAnalysis.com</w:t>
      </w:r>
    </w:p>
    <w:p>
      <w:pPr>
        <w:spacing w:after="160" w:before="160"/>
      </w:pPr>
      <w:r>
        <w:rPr>
          <w:i/>
          <w:iCs/>
          <w:color w:val="4A5568"/>
          <w:sz w:val="18"/>
          <w:szCs w:val="18"/>
        </w:rPr>
        <w:t xml:space="preserve">SEO intelligence for TipRanks — threat detection, keyword coverage changes, content depth, UX/template shifts. Intelligence sourced from web search, Similarweb, Ahrefs, and SemRush signals.</w:t>
      </w:r>
    </w:p>
    <w:p>
      <w:pPr>
        <w:pBdr>
          <w:bottom w:val="single" w:color="0D7377" w:sz="6"/>
        </w:pBdr>
        <w:spacing w:after="160" w:before="160"/>
      </w:pPr>
    </w:p>
    <w:p>
      <w:pPr>
        <w:pStyle w:val="Heading1"/>
        <w:spacing w:after="120" w:before="320"/>
        <w:rPr>
          <w:b/>
          <w:bCs/>
          <w:color w:val="1B3A6B"/>
          <w:sz w:val="32"/>
          <w:szCs w:val="32"/>
        </w:rPr>
      </w:pPr>
      <w:r>
        <w:t xml:space="preserve">MarketBeat.com</w:t>
      </w:r>
    </w:p>
    <w:p>
      <w:pPr>
        <w:pBdr>
          <w:bottom w:val="single" w:color="0D7377" w:sz="4"/>
        </w:pBdr>
        <w:spacing w:after="80" w:before="280"/>
      </w:pPr>
      <w:r>
        <w:rPr>
          <w:b/>
          <w:bCs/>
          <w:color w:val="1B3A6B"/>
          <w:sz w:val="26"/>
          <w:szCs w:val="26"/>
        </w:rPr>
        <w:t xml:space="preserve">1. Summary of What Changed</w:t>
      </w:r>
    </w:p>
    <w:p>
      <w:pPr>
        <w:spacing w:after="60" w:before="200"/>
      </w:pPr>
      <w:r>
        <w:rPr>
          <w:b/>
          <w:bCs/>
          <w:color w:val="0D7377"/>
          <w:sz w:val="22"/>
          <w:szCs w:val="22"/>
        </w:rPr>
        <w:t xml:space="preserve">Analyst Ratings &amp; Profiles Overhaul (Sep 2025, now fully indexed)</w:t>
      </w:r>
    </w:p>
    <w:p>
      <w:pPr>
        <w:spacing w:after="60" w:before="60"/>
      </w:pPr>
      <w:r>
        <w:rPr>
          <w:color w:val="4A5568"/>
          <w:sz w:val="20"/>
          <w:szCs w:val="20"/>
        </w:rPr>
        <w:t xml:space="preserve">MarketBeat completed a major upgrade to its analyst ratings pages and analyst profile pages. The new profiles expose individual analyst performance metrics — success rates, average returns, coverage areas, and ratings distribution (bullish/bearish/neutral ratios). Advanced filtering and firm rankings sit behind the All Access paywall, but the public-facing profile layer is substantially richer than before.</w:t>
      </w:r>
    </w:p>
    <w:p>
      <w:pPr>
        <w:spacing w:after="60" w:before="200"/>
      </w:pPr>
      <w:r>
        <w:rPr>
          <w:b/>
          <w:bCs/>
          <w:color w:val="0D7377"/>
          <w:sz w:val="22"/>
          <w:szCs w:val="22"/>
        </w:rPr>
        <w:t xml:space="preserve">Dividend Screener Expansion</w:t>
      </w:r>
    </w:p>
    <w:p>
      <w:pPr>
        <w:spacing w:after="60" w:before="60"/>
      </w:pPr>
      <w:r>
        <w:rPr>
          <w:color w:val="4A5568"/>
          <w:sz w:val="20"/>
          <w:szCs w:val="20"/>
        </w:rPr>
        <w:t xml:space="preserve">MarketBeat's /dividends/screener/ is actively indexed and ranking for "dividend screener 2026" queries. Filters cover yield, payout ratio, and consecutive dividend growth years.</w:t>
      </w:r>
    </w:p>
    <w:p>
      <w:pPr>
        <w:spacing w:after="60" w:before="200"/>
      </w:pPr>
      <w:r>
        <w:rPr>
          <w:b/>
          <w:bCs/>
          <w:color w:val="0D7377"/>
          <w:sz w:val="22"/>
          <w:szCs w:val="22"/>
        </w:rPr>
        <w:t xml:space="preserve">DividendStocks.com Microsite</w:t>
      </w:r>
    </w:p>
    <w:p>
      <w:pPr>
        <w:spacing w:after="60" w:before="60"/>
      </w:pPr>
      <w:r>
        <w:rPr>
          <w:color w:val="4A5568"/>
          <w:sz w:val="20"/>
          <w:szCs w:val="20"/>
        </w:rPr>
        <w:t xml:space="preserve">Originally launched in 2022, this standalone property continues to accrue domain authority separately from marketbeat.com — creating a two-property dividend coverage moat.</w:t>
      </w:r>
    </w:p>
    <w:p>
      <w:pPr>
        <w:spacing w:after="60" w:before="200"/>
      </w:pPr>
      <w:r>
        <w:rPr>
          <w:b/>
          <w:bCs/>
          <w:color w:val="0D7377"/>
          <w:sz w:val="22"/>
          <w:szCs w:val="22"/>
        </w:rPr>
        <w:t xml:space="preserve">Traffic Profile</w:t>
      </w:r>
    </w:p>
    <w:p>
      <w:pPr>
        <w:pStyle w:val="ListParagraph"/>
        <w:numPr>
          <w:ilvl w:val="0"/>
          <w:numId w:val="2"/>
        </w:numPr>
        <w:spacing w:after="40" w:before="40"/>
      </w:pPr>
      <w:r>
        <w:rPr>
          <w:color w:val="4A5568"/>
          <w:sz w:val="20"/>
          <w:szCs w:val="20"/>
        </w:rPr>
        <w:t xml:space="preserve">Global rank: ~#10,201; #33 in Investing</w:t>
      </w:r>
    </w:p>
    <w:p>
      <w:pPr>
        <w:pStyle w:val="ListParagraph"/>
        <w:numPr>
          <w:ilvl w:val="0"/>
          <w:numId w:val="2"/>
        </w:numPr>
        <w:spacing w:after="40" w:before="40"/>
      </w:pPr>
      <w:r>
        <w:rPr>
          <w:color w:val="4A5568"/>
          <w:sz w:val="20"/>
          <w:szCs w:val="20"/>
        </w:rPr>
        <w:t xml:space="preserve">Organic search: 48.23% of desktop traffic (April 2026)</w:t>
      </w:r>
    </w:p>
    <w:p>
      <w:pPr>
        <w:pStyle w:val="ListParagraph"/>
        <w:numPr>
          <w:ilvl w:val="0"/>
          <w:numId w:val="2"/>
        </w:numPr>
        <w:spacing w:after="40" w:before="40"/>
      </w:pPr>
      <w:r>
        <w:rPr>
          <w:color w:val="4A5568"/>
          <w:sz w:val="20"/>
          <w:szCs w:val="20"/>
        </w:rPr>
        <w:t xml:space="preserve">Category rank: #141 in Finance &gt; Investing (Similarweb)</w:t>
      </w:r>
    </w:p>
    <w:p>
      <w:pPr>
        <w:spacing w:after="40" w:before="40"/>
      </w:pPr>
    </w:p>
    <w:p>
      <w:pPr>
        <w:pBdr>
          <w:bottom w:val="single" w:color="0D7377" w:sz="4"/>
        </w:pBdr>
        <w:spacing w:after="80" w:before="280"/>
      </w:pPr>
      <w:r>
        <w:rPr>
          <w:b/>
          <w:bCs/>
          <w:color w:val="1B3A6B"/>
          <w:sz w:val="26"/>
          <w:szCs w:val="26"/>
        </w:rPr>
        <w:t xml:space="preserve">2. Why It Matters</w:t>
      </w:r>
    </w:p>
    <w:p>
      <w:pPr>
        <w:spacing w:after="60" w:before="60"/>
      </w:pPr>
      <w:r>
        <w:rPr>
          <w:color w:val="4A5568"/>
          <w:sz w:val="20"/>
          <w:szCs w:val="20"/>
        </w:rPr>
        <w:t xml:space="preserve">The analyst profile upgrade is a direct frontal attack on TipRanks' core differentiator. MarketBeat is now publishing analyst-level accuracy and track-record signals — the exact moat TipRanks has built its brand on. If MarketBeat's analyst profile pages start ranking for "[Analyst Name] track record" or "[Analyst Name] stock picks" queries, TipRanks loses click share on its highest-conversion, lowest-competition keyword cluster.</w:t>
      </w:r>
    </w:p>
    <w:p>
      <w:pPr>
        <w:spacing w:after="60" w:before="60"/>
      </w:pPr>
      <w:r>
        <w:rPr>
          <w:color w:val="4A5568"/>
          <w:sz w:val="20"/>
          <w:szCs w:val="20"/>
        </w:rPr>
        <w:t xml:space="preserve">The dividend screener signals MarketBeat's intent to own high-conversion income-investor queries. These users skew toward premium subscriptions.</w:t>
      </w:r>
    </w:p>
    <w:p>
      <w:pPr>
        <w:spacing w:after="40" w:before="40"/>
      </w:pPr>
    </w:p>
    <w:p>
      <w:pPr>
        <w:pBdr>
          <w:bottom w:val="single" w:color="0D7377" w:sz="4"/>
        </w:pBdr>
        <w:spacing w:after="80" w:before="280"/>
      </w:pPr>
      <w:r>
        <w:rPr>
          <w:b/>
          <w:bCs/>
          <w:color w:val="1B3A6B"/>
          <w:sz w:val="26"/>
          <w:szCs w:val="26"/>
        </w:rPr>
        <w:t xml:space="preserve">3. Threat Level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rPr>
          <w:tblHeader/>
        </w:trPr>
        <w:tc>
          <w:tcPr>
            <w:tcW w:type="dxa" w:w="6084"/>
            <w:shd w:fill="1B3A6B" w:color="auto" w:val="clear"/>
            <w:tcMar>
              <w:top w:type="dxa" w:w="80"/>
              <w:left w:type="dxa" w:w="120"/>
              <w:bottom w:type="dxa" w:w="80"/>
              <w:right w:type="dxa" w:w="120"/>
            </w:tcMar>
          </w:tcPr>
          <w:p>
            <w:r>
              <w:rPr>
                <w:b/>
                <w:bCs/>
                <w:color w:val="FFFFFF"/>
                <w:sz w:val="18"/>
                <w:szCs w:val="18"/>
              </w:rPr>
              <w:t xml:space="preserve">Signal</w:t>
            </w:r>
          </w:p>
        </w:tc>
        <w:tc>
          <w:tcPr>
            <w:tcW w:type="dxa" w:w="3276"/>
            <w:shd w:fill="1B3A6B" w:color="auto" w:val="clear"/>
            <w:tcMar>
              <w:top w:type="dxa" w:w="80"/>
              <w:left w:type="dxa" w:w="120"/>
              <w:bottom w:type="dxa" w:w="80"/>
              <w:right w:type="dxa" w:w="120"/>
            </w:tcMar>
          </w:tcPr>
          <w:p>
            <w:r>
              <w:rPr>
                <w:b/>
                <w:bCs/>
                <w:color w:val="FFFFFF"/>
                <w:sz w:val="18"/>
                <w:szCs w:val="18"/>
              </w:rPr>
              <w:t xml:space="preserve">Threat Level</w:t>
            </w:r>
          </w:p>
        </w:tc>
      </w:tr>
      <w:tr>
        <w:tc>
          <w:tcPr>
            <w:tcW w:type="dxa" w:w="6084"/>
            <w:shd w:fill="F2F4F7" w:color="auto" w:val="clear"/>
            <w:tcMar>
              <w:top w:type="dxa" w:w="80"/>
              <w:left w:type="dxa" w:w="120"/>
              <w:bottom w:type="dxa" w:w="80"/>
              <w:right w:type="dxa" w:w="120"/>
            </w:tcMar>
          </w:tcPr>
          <w:p>
            <w:r>
              <w:rPr>
                <w:b w:val="false"/>
                <w:bCs w:val="false"/>
                <w:color w:val="4A5568"/>
                <w:sz w:val="18"/>
                <w:szCs w:val="18"/>
              </w:rPr>
              <w:t xml:space="preserve">Analyst profile pages with accuracy data</w:t>
            </w:r>
          </w:p>
        </w:tc>
        <w:tc>
          <w:tcPr>
            <w:tcW w:type="dxa" w:w="3276"/>
            <w:shd w:fill="F2F4F7" w:color="auto" w:val="clear"/>
            <w:tcMar>
              <w:top w:type="dxa" w:w="80"/>
              <w:left w:type="dxa" w:w="120"/>
              <w:bottom w:type="dxa" w:w="80"/>
              <w:right w:type="dxa" w:w="120"/>
            </w:tcMar>
          </w:tcPr>
          <w:p>
            <w:r>
              <w:rPr>
                <w:b/>
                <w:bCs/>
                <w:color w:val="C0392B"/>
                <w:sz w:val="18"/>
                <w:szCs w:val="18"/>
              </w:rPr>
              <w:t xml:space="preserve">HIGH</w:t>
            </w:r>
          </w:p>
        </w:tc>
      </w:tr>
      <w:tr>
        <w:tc>
          <w:tcPr>
            <w:tcW w:type="dxa" w:w="6084"/>
            <w:shd w:fill="FFFFFF" w:color="auto" w:val="clear"/>
            <w:tcMar>
              <w:top w:type="dxa" w:w="80"/>
              <w:left w:type="dxa" w:w="120"/>
              <w:bottom w:type="dxa" w:w="80"/>
              <w:right w:type="dxa" w:w="120"/>
            </w:tcMar>
          </w:tcPr>
          <w:p>
            <w:r>
              <w:rPr>
                <w:b w:val="false"/>
                <w:bCs w:val="false"/>
                <w:color w:val="4A5568"/>
                <w:sz w:val="18"/>
                <w:szCs w:val="18"/>
              </w:rPr>
              <w:t xml:space="preserve">Dividend screener + DividendStocks.com microsite</w:t>
            </w:r>
          </w:p>
        </w:tc>
        <w:tc>
          <w:tcPr>
            <w:tcW w:type="dxa" w:w="3276"/>
            <w:shd w:fill="FFFFFF" w:color="auto" w:val="clear"/>
            <w:tcMar>
              <w:top w:type="dxa" w:w="80"/>
              <w:left w:type="dxa" w:w="120"/>
              <w:bottom w:type="dxa" w:w="80"/>
              <w:right w:type="dxa" w:w="120"/>
            </w:tcMar>
          </w:tcPr>
          <w:p>
            <w:r>
              <w:rPr>
                <w:b/>
                <w:bCs/>
                <w:color w:val="D4870C"/>
                <w:sz w:val="18"/>
                <w:szCs w:val="18"/>
              </w:rPr>
              <w:t xml:space="preserve">MEDIUM</w:t>
            </w:r>
          </w:p>
        </w:tc>
      </w:tr>
      <w:tr>
        <w:tc>
          <w:tcPr>
            <w:tcW w:type="dxa" w:w="6084"/>
            <w:shd w:fill="F2F4F7" w:color="auto" w:val="clear"/>
            <w:tcMar>
              <w:top w:type="dxa" w:w="80"/>
              <w:left w:type="dxa" w:w="120"/>
              <w:bottom w:type="dxa" w:w="80"/>
              <w:right w:type="dxa" w:w="120"/>
            </w:tcMar>
          </w:tcPr>
          <w:p>
            <w:r>
              <w:rPr>
                <w:b w:val="false"/>
                <w:bCs w:val="false"/>
                <w:color w:val="4A5568"/>
                <w:sz w:val="18"/>
                <w:szCs w:val="18"/>
              </w:rPr>
              <w:t xml:space="preserve">Organic traffic composition (48% search)</w:t>
            </w:r>
          </w:p>
        </w:tc>
        <w:tc>
          <w:tcPr>
            <w:tcW w:type="dxa" w:w="3276"/>
            <w:shd w:fill="F2F4F7" w:color="auto" w:val="clear"/>
            <w:tcMar>
              <w:top w:type="dxa" w:w="80"/>
              <w:left w:type="dxa" w:w="120"/>
              <w:bottom w:type="dxa" w:w="80"/>
              <w:right w:type="dxa" w:w="120"/>
            </w:tcMar>
          </w:tcPr>
          <w:p>
            <w:r>
              <w:rPr>
                <w:b/>
                <w:bCs/>
                <w:color w:val="D4870C"/>
                <w:sz w:val="18"/>
                <w:szCs w:val="18"/>
              </w:rPr>
              <w:t xml:space="preserve">MEDIUM</w:t>
            </w:r>
          </w:p>
        </w:tc>
      </w:tr>
    </w:tbl>
    <w:p>
      <w:pPr>
        <w:spacing w:after="40" w:before="40"/>
      </w:pPr>
    </w:p>
    <w:p>
      <w:pPr>
        <w:pBdr>
          <w:bottom w:val="single" w:color="0D7377" w:sz="4"/>
        </w:pBdr>
        <w:spacing w:after="80" w:before="280"/>
      </w:pPr>
      <w:r>
        <w:rPr>
          <w:b/>
          <w:bCs/>
          <w:color w:val="1B3A6B"/>
          <w:sz w:val="26"/>
          <w:szCs w:val="26"/>
        </w:rPr>
        <w:t xml:space="preserve">4. Recommended Response</w:t>
      </w:r>
    </w:p>
    <w:p>
      <w:pPr>
        <w:pStyle w:val="ListParagraph"/>
        <w:numPr>
          <w:ilvl w:val="0"/>
          <w:numId w:val="2"/>
        </w:numPr>
        <w:spacing w:after="40" w:before="40"/>
      </w:pPr>
      <w:r>
        <w:rPr>
          <w:b/>
          <w:bCs/>
          <w:color w:val="4A5568"/>
          <w:sz w:val="20"/>
          <w:szCs w:val="20"/>
        </w:rPr>
        <w:t xml:space="preserve">Analyst profiles: </w:t>
      </w:r>
      <w:r>
        <w:rPr>
          <w:color w:val="4A5568"/>
          <w:sz w:val="20"/>
          <w:szCs w:val="20"/>
        </w:rPr>
        <w:t xml:space="preserve">Strengthen immediately. Ensure every TipRanks analyst profile page is optimized for "[Name] analyst", "[Name] stock picks", "[Name] accuracy rating", "[Name] TipRanks" — these are brand-moat keywords. Add FAQ schema. Improve internal linking from stock pages to analyst profile pages.</w:t>
      </w:r>
    </w:p>
    <w:p>
      <w:pPr>
        <w:pStyle w:val="ListParagraph"/>
        <w:numPr>
          <w:ilvl w:val="0"/>
          <w:numId w:val="2"/>
        </w:numPr>
        <w:spacing w:after="40" w:before="40"/>
      </w:pPr>
      <w:r>
        <w:rPr>
          <w:b/>
          <w:bCs/>
          <w:color w:val="4A5568"/>
          <w:sz w:val="20"/>
          <w:szCs w:val="20"/>
        </w:rPr>
        <w:t xml:space="preserve">Build an "Analyst Rankings" hub page </w:t>
      </w:r>
      <w:r>
        <w:rPr>
          <w:color w:val="4A5568"/>
          <w:sz w:val="20"/>
          <w:szCs w:val="20"/>
        </w:rPr>
        <w:t xml:space="preserve">("Best Analysts 2026", "Top-Rated Analysts by Sector") — TipRanks owns the data; MarketBeat does not yet have this. Publish before MarketBeat does.</w:t>
      </w:r>
    </w:p>
    <w:p>
      <w:pPr>
        <w:pStyle w:val="ListParagraph"/>
        <w:numPr>
          <w:ilvl w:val="0"/>
          <w:numId w:val="2"/>
        </w:numPr>
        <w:spacing w:after="40" w:before="40"/>
      </w:pPr>
      <w:r>
        <w:rPr>
          <w:b/>
          <w:bCs/>
          <w:color w:val="4A5568"/>
          <w:sz w:val="20"/>
          <w:szCs w:val="20"/>
        </w:rPr>
        <w:t xml:space="preserve">Dividend content: Add product modules. </w:t>
      </w:r>
      <w:r>
        <w:rPr>
          <w:color w:val="4A5568"/>
          <w:sz w:val="20"/>
          <w:szCs w:val="20"/>
        </w:rPr>
        <w:t xml:space="preserve">TipRanks dividend pages should carry Smart Score overlays, analyst buy/sell signals, and dividend safety ratings to out-depth MarketBeat's screener-only approach.</w:t>
      </w:r>
    </w:p>
    <w:p>
      <w:pPr>
        <w:pBdr>
          <w:bottom w:val="single" w:color="0D7377" w:sz="6"/>
        </w:pBdr>
        <w:spacing w:after="160" w:before="160"/>
      </w:pPr>
    </w:p>
    <w:p>
      <w:pPr>
        <w:pStyle w:val="Heading1"/>
        <w:spacing w:after="120" w:before="320"/>
        <w:rPr>
          <w:b/>
          <w:bCs/>
          <w:color w:val="1B3A6B"/>
          <w:sz w:val="32"/>
          <w:szCs w:val="32"/>
        </w:rPr>
      </w:pPr>
      <w:r>
        <w:t xml:space="preserve">StockAnalysis.com</w:t>
      </w:r>
    </w:p>
    <w:p>
      <w:pPr>
        <w:pBdr>
          <w:bottom w:val="single" w:color="0D7377" w:sz="4"/>
        </w:pBdr>
        <w:spacing w:after="80" w:before="280"/>
      </w:pPr>
      <w:r>
        <w:rPr>
          <w:b/>
          <w:bCs/>
          <w:color w:val="1B3A6B"/>
          <w:sz w:val="26"/>
          <w:szCs w:val="26"/>
        </w:rPr>
        <w:t xml:space="preserve">1. Summary of What Changed</w:t>
      </w:r>
    </w:p>
    <w:p>
      <w:pPr>
        <w:spacing w:after="60" w:before="200"/>
      </w:pPr>
      <w:r>
        <w:rPr>
          <w:b/>
          <w:bCs/>
          <w:color w:val="0D7377"/>
          <w:sz w:val="22"/>
          <w:szCs w:val="22"/>
        </w:rPr>
        <w:t xml:space="preserve">Screener Expansion to 299 Indicators</w:t>
      </w:r>
    </w:p>
    <w:p>
      <w:pPr>
        <w:spacing w:after="60" w:before="60"/>
      </w:pPr>
      <w:r>
        <w:rPr>
          <w:color w:val="4A5568"/>
          <w:sz w:val="20"/>
          <w:szCs w:val="20"/>
        </w:rPr>
        <w:t xml:space="preserve">StockAnalysis now offers 299 filters in its stock screener — spanning fundamentals, price metrics, dividend data, sector/country classifications, and technical indicators. Screens return results in real time during market hours and are saveable/shareable across sessions.</w:t>
      </w:r>
    </w:p>
    <w:p>
      <w:pPr>
        <w:spacing w:after="60" w:before="200"/>
      </w:pPr>
      <w:r>
        <w:rPr>
          <w:b/>
          <w:bCs/>
          <w:color w:val="0D7377"/>
          <w:sz w:val="22"/>
          <w:szCs w:val="22"/>
        </w:rPr>
        <w:t xml:space="preserve">ETF &amp; Dividend Page Dominance</w:t>
      </w:r>
    </w:p>
    <w:p>
      <w:pPr>
        <w:spacing w:after="60" w:before="60"/>
      </w:pPr>
      <w:r>
        <w:rPr>
          <w:color w:val="4A5568"/>
          <w:sz w:val="20"/>
          <w:szCs w:val="20"/>
        </w:rPr>
        <w:t xml:space="preserve">StockAnalysis ranks #1 for "jepi dividend" in the US (6.9K monthly visits, +5.3K MoM growth) and has built a comprehensive monthly-dividend ETF list page at /list/monthly-dividend-etfs/. These pages are accumulating significant long-tail traffic on dividend ETF queries.</w:t>
      </w:r>
    </w:p>
    <w:p>
      <w:pPr>
        <w:spacing w:after="60" w:before="200"/>
      </w:pPr>
      <w:r>
        <w:rPr>
          <w:b/>
          <w:bCs/>
          <w:color w:val="0D7377"/>
          <w:sz w:val="22"/>
          <w:szCs w:val="22"/>
        </w:rPr>
        <w:t xml:space="preserve">Mobile Apps</w:t>
      </w:r>
    </w:p>
    <w:p>
      <w:pPr>
        <w:spacing w:after="60" w:before="60"/>
      </w:pPr>
      <w:r>
        <w:rPr>
          <w:color w:val="4A5568"/>
          <w:sz w:val="20"/>
          <w:szCs w:val="20"/>
        </w:rPr>
        <w:t xml:space="preserve">Launched with strong App Store ratings (4.9 stars), increasing engagement depth and return-visit frequency — reducing SEO-driven users from bouncing back to search.</w:t>
      </w:r>
    </w:p>
    <w:p>
      <w:pPr>
        <w:spacing w:after="60" w:before="200"/>
      </w:pPr>
      <w:r>
        <w:rPr>
          <w:b/>
          <w:bCs/>
          <w:color w:val="0D7377"/>
          <w:sz w:val="22"/>
          <w:szCs w:val="22"/>
        </w:rPr>
        <w:t xml:space="preserve">Global Coverage at Scale</w:t>
      </w:r>
    </w:p>
    <w:p>
      <w:pPr>
        <w:spacing w:after="60" w:before="60"/>
      </w:pPr>
      <w:r>
        <w:rPr>
          <w:color w:val="4A5568"/>
          <w:sz w:val="20"/>
          <w:szCs w:val="20"/>
        </w:rPr>
        <w:t xml:space="preserve">130,000+ stocks and funds globally indexed, covering all S&amp;P 500 companies with complete financial statement, valuation, dividend, and earnings data.</w:t>
      </w:r>
    </w:p>
    <w:p>
      <w:pPr>
        <w:spacing w:after="60" w:before="200"/>
      </w:pPr>
      <w:r>
        <w:rPr>
          <w:b/>
          <w:bCs/>
          <w:color w:val="0D7377"/>
          <w:sz w:val="22"/>
          <w:szCs w:val="22"/>
        </w:rPr>
        <w:t xml:space="preserve">Traffic Profile (Oct 2025 snapshot)</w:t>
      </w:r>
    </w:p>
    <w:p>
      <w:pPr>
        <w:pStyle w:val="ListParagraph"/>
        <w:numPr>
          <w:ilvl w:val="0"/>
          <w:numId w:val="2"/>
        </w:numPr>
        <w:spacing w:after="40" w:before="40"/>
      </w:pPr>
      <w:r>
        <w:rPr>
          <w:color w:val="4A5568"/>
          <w:sz w:val="20"/>
          <w:szCs w:val="20"/>
        </w:rPr>
        <w:t xml:space="preserve">8.96M monthly visits</w:t>
      </w:r>
    </w:p>
    <w:p>
      <w:pPr>
        <w:pStyle w:val="ListParagraph"/>
        <w:numPr>
          <w:ilvl w:val="0"/>
          <w:numId w:val="2"/>
        </w:numPr>
        <w:spacing w:after="40" w:before="40"/>
      </w:pPr>
      <w:r>
        <w:rPr>
          <w:color w:val="4A5568"/>
          <w:sz w:val="20"/>
          <w:szCs w:val="20"/>
        </w:rPr>
        <w:t xml:space="preserve">Domain Rating: 74, linked by 9.7K domains</w:t>
      </w:r>
    </w:p>
    <w:p>
      <w:pPr>
        <w:pStyle w:val="ListParagraph"/>
        <w:numPr>
          <w:ilvl w:val="0"/>
          <w:numId w:val="2"/>
        </w:numPr>
        <w:spacing w:after="40" w:before="40"/>
      </w:pPr>
      <w:r>
        <w:rPr>
          <w:color w:val="4A5568"/>
          <w:sz w:val="20"/>
          <w:szCs w:val="20"/>
        </w:rPr>
        <w:t xml:space="preserve">Top keywords in dividend/ETF cluster growing strongly</w:t>
      </w:r>
    </w:p>
    <w:p>
      <w:pPr>
        <w:pStyle w:val="ListParagraph"/>
        <w:numPr>
          <w:ilvl w:val="0"/>
          <w:numId w:val="2"/>
        </w:numPr>
        <w:spacing w:after="40" w:before="40"/>
      </w:pPr>
      <w:r>
        <w:rPr>
          <w:color w:val="4A5568"/>
          <w:sz w:val="20"/>
          <w:szCs w:val="20"/>
        </w:rPr>
        <w:t xml:space="preserve">Core audience: 61.2% US</w:t>
      </w:r>
    </w:p>
    <w:p>
      <w:pPr>
        <w:spacing w:after="40" w:before="40"/>
      </w:pPr>
    </w:p>
    <w:p>
      <w:pPr>
        <w:pBdr>
          <w:bottom w:val="single" w:color="0D7377" w:sz="4"/>
        </w:pBdr>
        <w:spacing w:after="80" w:before="280"/>
      </w:pPr>
      <w:r>
        <w:rPr>
          <w:b/>
          <w:bCs/>
          <w:color w:val="1B3A6B"/>
          <w:sz w:val="26"/>
          <w:szCs w:val="26"/>
        </w:rPr>
        <w:t xml:space="preserve">2. Why It Matters</w:t>
      </w:r>
    </w:p>
    <w:p>
      <w:pPr>
        <w:spacing w:after="60" w:before="60"/>
      </w:pPr>
      <w:r>
        <w:rPr>
          <w:color w:val="4A5568"/>
          <w:sz w:val="20"/>
          <w:szCs w:val="20"/>
        </w:rPr>
        <w:t xml:space="preserve">StockAnalysis is executing a systematic ETF and dividend content land-grab that threatens TipRanks' ability to rank for high-volume, high-conversion income-investor queries. The "jepi dividend" ranking win (+5.3K visits MoM from a single keyword) is a proof-of-concept signal — they are scaling this playbook across hundreds of ETF tickers.</w:t>
      </w:r>
    </w:p>
    <w:p>
      <w:pPr>
        <w:spacing w:after="60" w:before="60"/>
      </w:pPr>
      <w:r>
        <w:rPr>
          <w:color w:val="4A5568"/>
          <w:sz w:val="20"/>
          <w:szCs w:val="20"/>
        </w:rPr>
        <w:t xml:space="preserve">The 299-filter screener positions StockAnalysis to rank for long-tail screener queries that TipRanks' screener does not yet cover (e.g., "stocks with low P/E high dividend yield"). These queries convert investors who then look for analyst ratings — and if StockAnalysis captures them first, TipRanks loses top-of-funnel.</w:t>
      </w:r>
    </w:p>
    <w:p>
      <w:pPr>
        <w:spacing w:after="60" w:before="60"/>
      </w:pPr>
      <w:r>
        <w:rPr>
          <w:color w:val="4A5568"/>
          <w:sz w:val="20"/>
          <w:szCs w:val="20"/>
        </w:rPr>
        <w:t xml:space="preserve">The mobile app is a retention play that keeps users inside StockAnalysis's ecosystem, reducing Google dependency — meaning they are becoming less SEO-reliant while still growing organically.</w:t>
      </w:r>
    </w:p>
    <w:p>
      <w:pPr>
        <w:spacing w:after="40" w:before="40"/>
      </w:pPr>
    </w:p>
    <w:p>
      <w:pPr>
        <w:pBdr>
          <w:bottom w:val="single" w:color="0D7377" w:sz="4"/>
        </w:pBdr>
        <w:spacing w:after="80" w:before="280"/>
      </w:pPr>
      <w:r>
        <w:rPr>
          <w:b/>
          <w:bCs/>
          <w:color w:val="1B3A6B"/>
          <w:sz w:val="26"/>
          <w:szCs w:val="26"/>
        </w:rPr>
        <w:t xml:space="preserve">3. Threat Level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rPr>
          <w:tblHeader/>
        </w:trPr>
        <w:tc>
          <w:tcPr>
            <w:tcW w:type="dxa" w:w="6084"/>
            <w:shd w:fill="1B3A6B" w:color="auto" w:val="clear"/>
            <w:tcMar>
              <w:top w:type="dxa" w:w="80"/>
              <w:left w:type="dxa" w:w="120"/>
              <w:bottom w:type="dxa" w:w="80"/>
              <w:right w:type="dxa" w:w="120"/>
            </w:tcMar>
          </w:tcPr>
          <w:p>
            <w:r>
              <w:rPr>
                <w:b/>
                <w:bCs/>
                <w:color w:val="FFFFFF"/>
                <w:sz w:val="18"/>
                <w:szCs w:val="18"/>
              </w:rPr>
              <w:t xml:space="preserve">Signal</w:t>
            </w:r>
          </w:p>
        </w:tc>
        <w:tc>
          <w:tcPr>
            <w:tcW w:type="dxa" w:w="3276"/>
            <w:shd w:fill="1B3A6B" w:color="auto" w:val="clear"/>
            <w:tcMar>
              <w:top w:type="dxa" w:w="80"/>
              <w:left w:type="dxa" w:w="120"/>
              <w:bottom w:type="dxa" w:w="80"/>
              <w:right w:type="dxa" w:w="120"/>
            </w:tcMar>
          </w:tcPr>
          <w:p>
            <w:r>
              <w:rPr>
                <w:b/>
                <w:bCs/>
                <w:color w:val="FFFFFF"/>
                <w:sz w:val="18"/>
                <w:szCs w:val="18"/>
              </w:rPr>
              <w:t xml:space="preserve">Threat Level</w:t>
            </w:r>
          </w:p>
        </w:tc>
      </w:tr>
      <w:tr>
        <w:tc>
          <w:tcPr>
            <w:tcW w:type="dxa" w:w="6084"/>
            <w:shd w:fill="F2F4F7" w:color="auto" w:val="clear"/>
            <w:tcMar>
              <w:top w:type="dxa" w:w="80"/>
              <w:left w:type="dxa" w:w="120"/>
              <w:bottom w:type="dxa" w:w="80"/>
              <w:right w:type="dxa" w:w="120"/>
            </w:tcMar>
          </w:tcPr>
          <w:p>
            <w:r>
              <w:rPr>
                <w:b w:val="false"/>
                <w:bCs w:val="false"/>
                <w:color w:val="4A5568"/>
                <w:sz w:val="18"/>
                <w:szCs w:val="18"/>
              </w:rPr>
              <w:t xml:space="preserve">ETF/dividend page keyword dominance</w:t>
            </w:r>
          </w:p>
        </w:tc>
        <w:tc>
          <w:tcPr>
            <w:tcW w:type="dxa" w:w="3276"/>
            <w:shd w:fill="F2F4F7" w:color="auto" w:val="clear"/>
            <w:tcMar>
              <w:top w:type="dxa" w:w="80"/>
              <w:left w:type="dxa" w:w="120"/>
              <w:bottom w:type="dxa" w:w="80"/>
              <w:right w:type="dxa" w:w="120"/>
            </w:tcMar>
          </w:tcPr>
          <w:p>
            <w:r>
              <w:rPr>
                <w:b/>
                <w:bCs/>
                <w:color w:val="C0392B"/>
                <w:sz w:val="18"/>
                <w:szCs w:val="18"/>
              </w:rPr>
              <w:t xml:space="preserve">HIGH</w:t>
            </w:r>
          </w:p>
        </w:tc>
      </w:tr>
      <w:tr>
        <w:tc>
          <w:tcPr>
            <w:tcW w:type="dxa" w:w="6084"/>
            <w:shd w:fill="FFFFFF" w:color="auto" w:val="clear"/>
            <w:tcMar>
              <w:top w:type="dxa" w:w="80"/>
              <w:left w:type="dxa" w:w="120"/>
              <w:bottom w:type="dxa" w:w="80"/>
              <w:right w:type="dxa" w:w="120"/>
            </w:tcMar>
          </w:tcPr>
          <w:p>
            <w:r>
              <w:rPr>
                <w:b w:val="false"/>
                <w:bCs w:val="false"/>
                <w:color w:val="4A5568"/>
                <w:sz w:val="18"/>
                <w:szCs w:val="18"/>
              </w:rPr>
              <w:t xml:space="preserve">299-filter screener (long-tail SEO coverage)</w:t>
            </w:r>
          </w:p>
        </w:tc>
        <w:tc>
          <w:tcPr>
            <w:tcW w:type="dxa" w:w="3276"/>
            <w:shd w:fill="FFFFFF" w:color="auto" w:val="clear"/>
            <w:tcMar>
              <w:top w:type="dxa" w:w="80"/>
              <w:left w:type="dxa" w:w="120"/>
              <w:bottom w:type="dxa" w:w="80"/>
              <w:right w:type="dxa" w:w="120"/>
            </w:tcMar>
          </w:tcPr>
          <w:p>
            <w:r>
              <w:rPr>
                <w:b/>
                <w:bCs/>
                <w:color w:val="C0392B"/>
                <w:sz w:val="18"/>
                <w:szCs w:val="18"/>
              </w:rPr>
              <w:t xml:space="preserve">HIGH</w:t>
            </w:r>
          </w:p>
        </w:tc>
      </w:tr>
      <w:tr>
        <w:tc>
          <w:tcPr>
            <w:tcW w:type="dxa" w:w="6084"/>
            <w:shd w:fill="F2F4F7" w:color="auto" w:val="clear"/>
            <w:tcMar>
              <w:top w:type="dxa" w:w="80"/>
              <w:left w:type="dxa" w:w="120"/>
              <w:bottom w:type="dxa" w:w="80"/>
              <w:right w:type="dxa" w:w="120"/>
            </w:tcMar>
          </w:tcPr>
          <w:p>
            <w:r>
              <w:rPr>
                <w:b w:val="false"/>
                <w:bCs w:val="false"/>
                <w:color w:val="4A5568"/>
                <w:sz w:val="18"/>
                <w:szCs w:val="18"/>
              </w:rPr>
              <w:t xml:space="preserve">Mobile app reducing bounce-to-search</w:t>
            </w:r>
          </w:p>
        </w:tc>
        <w:tc>
          <w:tcPr>
            <w:tcW w:type="dxa" w:w="3276"/>
            <w:shd w:fill="F2F4F7" w:color="auto" w:val="clear"/>
            <w:tcMar>
              <w:top w:type="dxa" w:w="80"/>
              <w:left w:type="dxa" w:w="120"/>
              <w:bottom w:type="dxa" w:w="80"/>
              <w:right w:type="dxa" w:w="120"/>
            </w:tcMar>
          </w:tcPr>
          <w:p>
            <w:r>
              <w:rPr>
                <w:b/>
                <w:bCs/>
                <w:color w:val="D4870C"/>
                <w:sz w:val="18"/>
                <w:szCs w:val="18"/>
              </w:rPr>
              <w:t xml:space="preserve">MEDIUM</w:t>
            </w:r>
          </w:p>
        </w:tc>
      </w:tr>
      <w:tr>
        <w:tc>
          <w:tcPr>
            <w:tcW w:type="dxa" w:w="6084"/>
            <w:shd w:fill="FFFFFF" w:color="auto" w:val="clear"/>
            <w:tcMar>
              <w:top w:type="dxa" w:w="80"/>
              <w:left w:type="dxa" w:w="120"/>
              <w:bottom w:type="dxa" w:w="80"/>
              <w:right w:type="dxa" w:w="120"/>
            </w:tcMar>
          </w:tcPr>
          <w:p>
            <w:r>
              <w:rPr>
                <w:b w:val="false"/>
                <w:bCs w:val="false"/>
                <w:color w:val="4A5568"/>
                <w:sz w:val="18"/>
                <w:szCs w:val="18"/>
              </w:rPr>
              <w:t xml:space="preserve">130K global stock/fund coverage</w:t>
            </w:r>
          </w:p>
        </w:tc>
        <w:tc>
          <w:tcPr>
            <w:tcW w:type="dxa" w:w="3276"/>
            <w:shd w:fill="FFFFFF" w:color="auto" w:val="clear"/>
            <w:tcMar>
              <w:top w:type="dxa" w:w="80"/>
              <w:left w:type="dxa" w:w="120"/>
              <w:bottom w:type="dxa" w:w="80"/>
              <w:right w:type="dxa" w:w="120"/>
            </w:tcMar>
          </w:tcPr>
          <w:p>
            <w:r>
              <w:rPr>
                <w:b/>
                <w:bCs/>
                <w:color w:val="D4870C"/>
                <w:sz w:val="18"/>
                <w:szCs w:val="18"/>
              </w:rPr>
              <w:t xml:space="preserve">MEDIUM</w:t>
            </w:r>
          </w:p>
        </w:tc>
      </w:tr>
    </w:tbl>
    <w:p>
      <w:pPr>
        <w:spacing w:after="40" w:before="40"/>
      </w:pPr>
    </w:p>
    <w:p>
      <w:pPr>
        <w:pBdr>
          <w:bottom w:val="single" w:color="0D7377" w:sz="4"/>
        </w:pBdr>
        <w:spacing w:after="80" w:before="280"/>
      </w:pPr>
      <w:r>
        <w:rPr>
          <w:b/>
          <w:bCs/>
          <w:color w:val="1B3A6B"/>
          <w:sz w:val="26"/>
          <w:szCs w:val="26"/>
        </w:rPr>
        <w:t xml:space="preserve">4. Recommended Response</w:t>
      </w:r>
    </w:p>
    <w:p>
      <w:pPr>
        <w:pStyle w:val="ListParagraph"/>
        <w:numPr>
          <w:ilvl w:val="0"/>
          <w:numId w:val="2"/>
        </w:numPr>
        <w:spacing w:after="40" w:before="40"/>
      </w:pPr>
      <w:r>
        <w:rPr>
          <w:b/>
          <w:bCs/>
          <w:color w:val="4A5568"/>
          <w:sz w:val="20"/>
          <w:szCs w:val="20"/>
        </w:rPr>
        <w:t xml:space="preserve">ETF dividend pages: Build now. </w:t>
      </w:r>
      <w:r>
        <w:rPr>
          <w:color w:val="4A5568"/>
          <w:sz w:val="20"/>
          <w:szCs w:val="20"/>
        </w:rPr>
        <w:t xml:space="preserve">Create individual ETF dividend history pages (starting with top 50 most-searched ETFs — SCHD, JEPI, JEPQ, VYM, DVY) with dividend history, Smart Score, and analyst consensus data. StockAnalysis cannot add analyst accuracy data — TipRanks can. Own the differentiated angle.</w:t>
      </w:r>
    </w:p>
    <w:p>
      <w:pPr>
        <w:pStyle w:val="ListParagraph"/>
        <w:numPr>
          <w:ilvl w:val="0"/>
          <w:numId w:val="2"/>
        </w:numPr>
        <w:spacing w:after="40" w:before="40"/>
      </w:pPr>
      <w:r>
        <w:rPr>
          <w:b/>
          <w:bCs/>
          <w:color w:val="4A5568"/>
          <w:sz w:val="20"/>
          <w:szCs w:val="20"/>
        </w:rPr>
        <w:t xml:space="preserve">Screener: Expand filter depth. </w:t>
      </w:r>
      <w:r>
        <w:rPr>
          <w:color w:val="4A5568"/>
          <w:sz w:val="20"/>
          <w:szCs w:val="20"/>
        </w:rPr>
        <w:t xml:space="preserve">Benchmark TipRanks screener against StockAnalysis's 299 filters. Prioritize adding: dividend growth streak, payout ratio, EV/EBITDA, and country filters. Each new filter = new rankable long-tail queries.</w:t>
      </w:r>
    </w:p>
    <w:p>
      <w:pPr>
        <w:pStyle w:val="ListParagraph"/>
        <w:numPr>
          <w:ilvl w:val="0"/>
          <w:numId w:val="2"/>
        </w:numPr>
        <w:spacing w:after="40" w:before="40"/>
      </w:pPr>
      <w:r>
        <w:rPr>
          <w:b/>
          <w:bCs/>
          <w:color w:val="4A5568"/>
          <w:sz w:val="20"/>
          <w:szCs w:val="20"/>
        </w:rPr>
        <w:t xml:space="preserve">Monthly dividend ETF list pages: </w:t>
      </w:r>
      <w:r>
        <w:rPr>
          <w:color w:val="4A5568"/>
          <w:sz w:val="20"/>
          <w:szCs w:val="20"/>
        </w:rPr>
        <w:t xml:space="preserve">Create comparison and list pages (e.g., "Best Monthly Dividend ETFs by Analyst Consensus") — StockAnalysis has the plain list; TipRanks can win the value-added version.</w:t>
      </w:r>
    </w:p>
    <w:p>
      <w:pPr>
        <w:pStyle w:val="ListParagraph"/>
        <w:numPr>
          <w:ilvl w:val="0"/>
          <w:numId w:val="2"/>
        </w:numPr>
        <w:spacing w:after="40" w:before="40"/>
      </w:pPr>
      <w:r>
        <w:rPr>
          <w:b/>
          <w:bCs/>
          <w:color w:val="4A5568"/>
          <w:sz w:val="20"/>
          <w:szCs w:val="20"/>
        </w:rPr>
        <w:t xml:space="preserve">Smart Score on ETF pages: </w:t>
      </w:r>
      <w:r>
        <w:rPr>
          <w:color w:val="4A5568"/>
          <w:sz w:val="20"/>
          <w:szCs w:val="20"/>
        </w:rPr>
        <w:t xml:space="preserve">If not already present, add TipRanks Smart Score or analyst sentiment to all ETF pages. This is TipRanks' structural content moat.</w:t>
      </w:r>
    </w:p>
    <w:p>
      <w:pPr>
        <w:pBdr>
          <w:bottom w:val="single" w:color="0D7377" w:sz="6"/>
        </w:pBdr>
        <w:spacing w:after="160" w:before="160"/>
      </w:pPr>
    </w:p>
    <w:p>
      <w:pPr>
        <w:pStyle w:val="Heading1"/>
        <w:spacing w:after="120" w:before="320"/>
        <w:rPr>
          <w:b/>
          <w:bCs/>
          <w:color w:val="1B3A6B"/>
          <w:sz w:val="32"/>
          <w:szCs w:val="32"/>
        </w:rPr>
      </w:pPr>
      <w:r>
        <w:t xml:space="preserve">Cross-Competitor Signals</w:t>
      </w:r>
    </w:p>
    <w:p>
      <w:pPr>
        <w:spacing w:after="60" w:before="60"/>
      </w:pPr>
      <w:r>
        <w:rPr>
          <w:color w:val="4A5568"/>
          <w:sz w:val="20"/>
          <w:szCs w:val="20"/>
        </w:rPr>
        <w:t xml:space="preserve">Both competitors are converging on analyst data and dividend/ETF content as their primary growth vectors. MarketBeat is adding analyst-level accuracy (attacking TipRanks from the analyst data side); StockAnalysis is adding ETF dividend depth (attacking from the income-investor side). Together, they are squeezing TipRanks' two highest-value content areas simultaneously.</w:t>
      </w:r>
    </w:p>
    <w:p>
      <w:pPr>
        <w:spacing w:after="60" w:before="60"/>
      </w:pPr>
      <w:r>
        <w:rPr>
          <w:color w:val="4A5568"/>
          <w:sz w:val="20"/>
          <w:szCs w:val="20"/>
        </w:rPr>
        <w:t xml:space="preserve">Screener depth is becoming table stakes. Both sites are investing in screener functionality. TipRanks must not let screener coverage fall behind — long-tail screener queries funnel into high-intent users.</w:t>
      </w:r>
    </w:p>
    <w:p>
      <w:pPr>
        <w:spacing w:after="60" w:before="60"/>
      </w:pPr>
      <w:r>
        <w:rPr>
          <w:color w:val="4A5568"/>
          <w:sz w:val="20"/>
          <w:szCs w:val="20"/>
        </w:rPr>
        <w:t xml:space="preserve">Product-led SEO is the winning strategy. Neither competitor can replicate TipRanks' analyst accuracy scores, Smart Score, or hedge fund tracking data. Every page TipRanks publishes that embeds these proprietary signals is more defensible than anything MarketBeat or StockAnalysis can produce.</w:t>
      </w:r>
    </w:p>
    <w:p>
      <w:pPr>
        <w:pBdr>
          <w:bottom w:val="single" w:color="0D7377" w:sz="6"/>
        </w:pBdr>
        <w:spacing w:after="160" w:before="160"/>
      </w:pPr>
    </w:p>
    <w:p>
      <w:pPr>
        <w:pStyle w:val="Heading1"/>
        <w:spacing w:after="120" w:before="320"/>
        <w:rPr>
          <w:b/>
          <w:bCs/>
          <w:color w:val="1B3A6B"/>
          <w:sz w:val="32"/>
          <w:szCs w:val="32"/>
        </w:rPr>
      </w:pPr>
      <w:r>
        <w:t xml:space="preserve">Priority Action List</w:t>
      </w:r>
    </w:p>
    <w:p>
      <w:pPr>
        <w:spacing w:after="160" w:before="60"/>
      </w:pPr>
      <w:r>
        <w:rPr>
          <w:i/>
          <w:iCs/>
          <w:color w:val="4A5568"/>
          <w:sz w:val="20"/>
          <w:szCs w:val="20"/>
        </w:rPr>
        <w:t xml:space="preserve">Top 5 actions for the SEO/product/content team this week across both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1872"/>
        <w:gridCol w:w="6739"/>
      </w:tblGrid>
      <w:tr>
        <w:trPr>
          <w:tblHeader/>
        </w:trPr>
        <w:tc>
          <w:tcPr>
            <w:tcW w:type="dxa" w:w="749"/>
            <w:shd w:fill="1B3A6B" w:color="auto" w:val="clear"/>
            <w:tcMar>
              <w:top w:type="dxa" w:w="80"/>
              <w:left w:type="dxa" w:w="120"/>
              <w:bottom w:type="dxa" w:w="80"/>
              <w:right w:type="dxa" w:w="120"/>
            </w:tcMar>
          </w:tcPr>
          <w:p>
            <w:r>
              <w:rPr>
                <w:b/>
                <w:bCs/>
                <w:color w:val="FFFFFF"/>
                <w:sz w:val="18"/>
                <w:szCs w:val="18"/>
              </w:rPr>
              <w:t xml:space="preserve">#</w:t>
            </w:r>
          </w:p>
        </w:tc>
        <w:tc>
          <w:tcPr>
            <w:tcW w:type="dxa" w:w="1872"/>
            <w:shd w:fill="1B3A6B" w:color="auto" w:val="clear"/>
            <w:tcMar>
              <w:top w:type="dxa" w:w="80"/>
              <w:left w:type="dxa" w:w="120"/>
              <w:bottom w:type="dxa" w:w="80"/>
              <w:right w:type="dxa" w:w="120"/>
            </w:tcMar>
          </w:tcPr>
          <w:p>
            <w:r>
              <w:rPr>
                <w:b/>
                <w:bCs/>
                <w:color w:val="FFFFFF"/>
                <w:sz w:val="18"/>
                <w:szCs w:val="18"/>
              </w:rPr>
              <w:t xml:space="preserve">Priority</w:t>
            </w:r>
          </w:p>
        </w:tc>
        <w:tc>
          <w:tcPr>
            <w:tcW w:type="dxa" w:w="6739"/>
            <w:shd w:fill="1B3A6B" w:color="auto" w:val="clear"/>
            <w:tcMar>
              <w:top w:type="dxa" w:w="80"/>
              <w:left w:type="dxa" w:w="120"/>
              <w:bottom w:type="dxa" w:w="80"/>
              <w:right w:type="dxa" w:w="120"/>
            </w:tcMar>
          </w:tcPr>
          <w:p>
            <w:r>
              <w:rPr>
                <w:b/>
                <w:bCs/>
                <w:color w:val="FFFFFF"/>
                <w:sz w:val="18"/>
                <w:szCs w:val="18"/>
              </w:rPr>
              <w:t xml:space="preserve">Action</w:t>
            </w:r>
          </w:p>
        </w:tc>
      </w:tr>
      <w:tr>
        <w:tc>
          <w:tcPr>
            <w:tcW w:type="dxa" w:w="749"/>
            <w:shd w:fill="F2F4F7" w:color="auto" w:val="clear"/>
            <w:tcMar>
              <w:top w:type="dxa" w:w="80"/>
              <w:left w:type="dxa" w:w="120"/>
              <w:bottom w:type="dxa" w:w="80"/>
              <w:right w:type="dxa" w:w="120"/>
            </w:tcMar>
          </w:tcPr>
          <w:p>
            <w:r>
              <w:rPr>
                <w:b w:val="false"/>
                <w:bCs w:val="false"/>
                <w:color w:val="4A5568"/>
                <w:sz w:val="18"/>
                <w:szCs w:val="18"/>
              </w:rPr>
              <w:t xml:space="preserve">1</w:t>
            </w:r>
          </w:p>
        </w:tc>
        <w:tc>
          <w:tcPr>
            <w:tcW w:type="dxa" w:w="1872"/>
            <w:shd w:fill="F2F4F7" w:color="auto" w:val="clear"/>
            <w:tcMar>
              <w:top w:type="dxa" w:w="80"/>
              <w:left w:type="dxa" w:w="120"/>
              <w:bottom w:type="dxa" w:w="80"/>
              <w:right w:type="dxa" w:w="120"/>
            </w:tcMar>
          </w:tcPr>
          <w:p>
            <w:r>
              <w:rPr>
                <w:b/>
                <w:bCs/>
                <w:color w:val="C0392B"/>
                <w:sz w:val="18"/>
                <w:szCs w:val="18"/>
              </w:rPr>
              <w:t xml:space="preserve">CRITICAL</w:t>
            </w:r>
          </w:p>
        </w:tc>
        <w:tc>
          <w:tcPr>
            <w:tcW w:type="dxa" w:w="6739"/>
            <w:shd w:fill="F2F4F7" w:color="auto" w:val="clear"/>
            <w:tcMar>
              <w:top w:type="dxa" w:w="80"/>
              <w:left w:type="dxa" w:w="120"/>
              <w:bottom w:type="dxa" w:w="80"/>
              <w:right w:type="dxa" w:w="120"/>
            </w:tcMar>
          </w:tcPr>
          <w:p>
            <w:r>
              <w:rPr>
                <w:b w:val="false"/>
                <w:bCs w:val="false"/>
                <w:color w:val="4A5568"/>
                <w:sz w:val="18"/>
                <w:szCs w:val="18"/>
              </w:rPr>
              <w:t xml:space="preserve">Analyst profile SEO audit — run keyword gap analysis on "[Analyst Name] track record / stock picks / accuracy" vs MarketBeat's upgraded profiles. Identify where MarketBeat is indexing and act before they rank. ETA: 1 week.</w:t>
            </w:r>
          </w:p>
        </w:tc>
      </w:tr>
      <w:tr>
        <w:tc>
          <w:tcPr>
            <w:tcW w:type="dxa" w:w="749"/>
            <w:shd w:fill="FFFFFF" w:color="auto" w:val="clear"/>
            <w:tcMar>
              <w:top w:type="dxa" w:w="80"/>
              <w:left w:type="dxa" w:w="120"/>
              <w:bottom w:type="dxa" w:w="80"/>
              <w:right w:type="dxa" w:w="120"/>
            </w:tcMar>
          </w:tcPr>
          <w:p>
            <w:r>
              <w:rPr>
                <w:b w:val="false"/>
                <w:bCs w:val="false"/>
                <w:color w:val="4A5568"/>
                <w:sz w:val="18"/>
                <w:szCs w:val="18"/>
              </w:rPr>
              <w:t xml:space="preserve">2</w:t>
            </w:r>
          </w:p>
        </w:tc>
        <w:tc>
          <w:tcPr>
            <w:tcW w:type="dxa" w:w="1872"/>
            <w:shd w:fill="FFFFFF" w:color="auto" w:val="clear"/>
            <w:tcMar>
              <w:top w:type="dxa" w:w="80"/>
              <w:left w:type="dxa" w:w="120"/>
              <w:bottom w:type="dxa" w:w="80"/>
              <w:right w:type="dxa" w:w="120"/>
            </w:tcMar>
          </w:tcPr>
          <w:p>
            <w:r>
              <w:rPr>
                <w:b/>
                <w:bCs/>
                <w:color w:val="C0392B"/>
                <w:sz w:val="18"/>
                <w:szCs w:val="18"/>
              </w:rPr>
              <w:t xml:space="preserve">HIGH</w:t>
            </w:r>
          </w:p>
        </w:tc>
        <w:tc>
          <w:tcPr>
            <w:tcW w:type="dxa" w:w="6739"/>
            <w:shd w:fill="FFFFFF" w:color="auto" w:val="clear"/>
            <w:tcMar>
              <w:top w:type="dxa" w:w="80"/>
              <w:left w:type="dxa" w:w="120"/>
              <w:bottom w:type="dxa" w:w="80"/>
              <w:right w:type="dxa" w:w="120"/>
            </w:tcMar>
          </w:tcPr>
          <w:p>
            <w:r>
              <w:rPr>
                <w:b w:val="false"/>
                <w:bCs w:val="false"/>
                <w:color w:val="4A5568"/>
                <w:sz w:val="18"/>
                <w:szCs w:val="18"/>
              </w:rPr>
              <w:t xml:space="preserve">ETF dividend content sprint — create/expand individual ETF dividend pages (top 50: SCHD, JEPI, JEPQ, VYM, DVY) with dividend history, Smart Score, and analyst consensus. StockAnalysis is ranking now; TipRanks has better data to win with.</w:t>
            </w:r>
          </w:p>
        </w:tc>
      </w:tr>
      <w:tr>
        <w:tc>
          <w:tcPr>
            <w:tcW w:type="dxa" w:w="749"/>
            <w:shd w:fill="F2F4F7" w:color="auto" w:val="clear"/>
            <w:tcMar>
              <w:top w:type="dxa" w:w="80"/>
              <w:left w:type="dxa" w:w="120"/>
              <w:bottom w:type="dxa" w:w="80"/>
              <w:right w:type="dxa" w:w="120"/>
            </w:tcMar>
          </w:tcPr>
          <w:p>
            <w:r>
              <w:rPr>
                <w:b w:val="false"/>
                <w:bCs w:val="false"/>
                <w:color w:val="4A5568"/>
                <w:sz w:val="18"/>
                <w:szCs w:val="18"/>
              </w:rPr>
              <w:t xml:space="preserve">3</w:t>
            </w:r>
          </w:p>
        </w:tc>
        <w:tc>
          <w:tcPr>
            <w:tcW w:type="dxa" w:w="1872"/>
            <w:shd w:fill="F2F4F7" w:color="auto" w:val="clear"/>
            <w:tcMar>
              <w:top w:type="dxa" w:w="80"/>
              <w:left w:type="dxa" w:w="120"/>
              <w:bottom w:type="dxa" w:w="80"/>
              <w:right w:type="dxa" w:w="120"/>
            </w:tcMar>
          </w:tcPr>
          <w:p>
            <w:r>
              <w:rPr>
                <w:b/>
                <w:bCs/>
                <w:color w:val="C0392B"/>
                <w:sz w:val="18"/>
                <w:szCs w:val="18"/>
              </w:rPr>
              <w:t xml:space="preserve">HIGH</w:t>
            </w:r>
          </w:p>
        </w:tc>
        <w:tc>
          <w:tcPr>
            <w:tcW w:type="dxa" w:w="6739"/>
            <w:shd w:fill="F2F4F7" w:color="auto" w:val="clear"/>
            <w:tcMar>
              <w:top w:type="dxa" w:w="80"/>
              <w:left w:type="dxa" w:w="120"/>
              <w:bottom w:type="dxa" w:w="80"/>
              <w:right w:type="dxa" w:w="120"/>
            </w:tcMar>
          </w:tcPr>
          <w:p>
            <w:r>
              <w:rPr>
                <w:b w:val="false"/>
                <w:bCs w:val="false"/>
                <w:color w:val="4A5568"/>
                <w:sz w:val="18"/>
                <w:szCs w:val="18"/>
              </w:rPr>
              <w:t xml:space="preserve">Analyst Rankings hub page — publish "Best Stock Analysts 2026" and "Top-Rated Analysts by Sector" pages using TipRanks' proprietary accuracy data. Zero competition has built this yet. Time-sensitive.</w:t>
            </w:r>
          </w:p>
        </w:tc>
      </w:tr>
      <w:tr>
        <w:tc>
          <w:tcPr>
            <w:tcW w:type="dxa" w:w="749"/>
            <w:shd w:fill="FFFFFF" w:color="auto" w:val="clear"/>
            <w:tcMar>
              <w:top w:type="dxa" w:w="80"/>
              <w:left w:type="dxa" w:w="120"/>
              <w:bottom w:type="dxa" w:w="80"/>
              <w:right w:type="dxa" w:w="120"/>
            </w:tcMar>
          </w:tcPr>
          <w:p>
            <w:r>
              <w:rPr>
                <w:b w:val="false"/>
                <w:bCs w:val="false"/>
                <w:color w:val="4A5568"/>
                <w:sz w:val="18"/>
                <w:szCs w:val="18"/>
              </w:rPr>
              <w:t xml:space="preserve">4</w:t>
            </w:r>
          </w:p>
        </w:tc>
        <w:tc>
          <w:tcPr>
            <w:tcW w:type="dxa" w:w="1872"/>
            <w:shd w:fill="FFFFFF" w:color="auto" w:val="clear"/>
            <w:tcMar>
              <w:top w:type="dxa" w:w="80"/>
              <w:left w:type="dxa" w:w="120"/>
              <w:bottom w:type="dxa" w:w="80"/>
              <w:right w:type="dxa" w:w="120"/>
            </w:tcMar>
          </w:tcPr>
          <w:p>
            <w:r>
              <w:rPr>
                <w:b/>
                <w:bCs/>
                <w:color w:val="D4870C"/>
                <w:sz w:val="18"/>
                <w:szCs w:val="18"/>
              </w:rPr>
              <w:t xml:space="preserve">MEDIUM</w:t>
            </w:r>
          </w:p>
        </w:tc>
        <w:tc>
          <w:tcPr>
            <w:tcW w:type="dxa" w:w="6739"/>
            <w:shd w:fill="FFFFFF" w:color="auto" w:val="clear"/>
            <w:tcMar>
              <w:top w:type="dxa" w:w="80"/>
              <w:left w:type="dxa" w:w="120"/>
              <w:bottom w:type="dxa" w:w="80"/>
              <w:right w:type="dxa" w:w="120"/>
            </w:tcMar>
          </w:tcPr>
          <w:p>
            <w:r>
              <w:rPr>
                <w:b w:val="false"/>
                <w:bCs w:val="false"/>
                <w:color w:val="4A5568"/>
                <w:sz w:val="18"/>
                <w:szCs w:val="18"/>
              </w:rPr>
              <w:t xml:space="preserve">Screener filter expansion — benchmark TipRanks screener against StockAnalysis's 299 filters. Prioritize: dividend growth streak, payout ratio, EV/EBITDA, country filters for Q4 2026.</w:t>
            </w:r>
          </w:p>
        </w:tc>
      </w:tr>
      <w:tr>
        <w:tc>
          <w:tcPr>
            <w:tcW w:type="dxa" w:w="749"/>
            <w:shd w:fill="F2F4F7" w:color="auto" w:val="clear"/>
            <w:tcMar>
              <w:top w:type="dxa" w:w="80"/>
              <w:left w:type="dxa" w:w="120"/>
              <w:bottom w:type="dxa" w:w="80"/>
              <w:right w:type="dxa" w:w="120"/>
            </w:tcMar>
          </w:tcPr>
          <w:p>
            <w:r>
              <w:rPr>
                <w:b w:val="false"/>
                <w:bCs w:val="false"/>
                <w:color w:val="4A5568"/>
                <w:sz w:val="18"/>
                <w:szCs w:val="18"/>
              </w:rPr>
              <w:t xml:space="preserve">5</w:t>
            </w:r>
          </w:p>
        </w:tc>
        <w:tc>
          <w:tcPr>
            <w:tcW w:type="dxa" w:w="1872"/>
            <w:shd w:fill="F2F4F7" w:color="auto" w:val="clear"/>
            <w:tcMar>
              <w:top w:type="dxa" w:w="80"/>
              <w:left w:type="dxa" w:w="120"/>
              <w:bottom w:type="dxa" w:w="80"/>
              <w:right w:type="dxa" w:w="120"/>
            </w:tcMar>
          </w:tcPr>
          <w:p>
            <w:r>
              <w:rPr>
                <w:b/>
                <w:bCs/>
                <w:color w:val="D4870C"/>
                <w:sz w:val="18"/>
                <w:szCs w:val="18"/>
              </w:rPr>
              <w:t xml:space="preserve">MEDIUM</w:t>
            </w:r>
          </w:p>
        </w:tc>
        <w:tc>
          <w:tcPr>
            <w:tcW w:type="dxa" w:w="6739"/>
            <w:shd w:fill="F2F4F7" w:color="auto" w:val="clear"/>
            <w:tcMar>
              <w:top w:type="dxa" w:w="80"/>
              <w:left w:type="dxa" w:w="120"/>
              <w:bottom w:type="dxa" w:w="80"/>
              <w:right w:type="dxa" w:w="120"/>
            </w:tcMar>
          </w:tcPr>
          <w:p>
            <w:r>
              <w:rPr>
                <w:b w:val="false"/>
                <w:bCs w:val="false"/>
                <w:color w:val="4A5568"/>
                <w:sz w:val="18"/>
                <w:szCs w:val="18"/>
              </w:rPr>
              <w:t xml:space="preserve">Internal linking: Stock → Analyst → Sector hubs — strengthen link chains from stock pages to analyst profile pages to sector-level ranking hubs. Supports E-E-A-T and distributes authority to TipRanks' proprietary content assets.</w:t>
            </w:r>
          </w:p>
        </w:tc>
      </w:tr>
    </w:tbl>
    <w:p>
      <w:pPr>
        <w:spacing w:after="40" w:before="40"/>
      </w:pPr>
    </w:p>
    <w:p>
      <w:pPr>
        <w:spacing w:after="40" w:before="40"/>
      </w:pPr>
    </w:p>
    <w:p>
      <w:pPr>
        <w:spacing w:after="0" w:before="240"/>
        <w:jc w:val="center"/>
      </w:pPr>
      <w:r>
        <w:rPr>
          <w:i/>
          <w:iCs/>
          <w:color w:val="999999"/>
          <w:sz w:val="16"/>
          <w:szCs w:val="16"/>
        </w:rPr>
        <w:t xml:space="preserve">Report generated: 2026-08-24  •  Agent: Competitor Watchdog  •  Next scheduled: 2026-08-31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2026-08-24T08:48:49.238Z</dcterms:created>
  <dcterms:modified xsi:type="dcterms:W3CDTF">2026-08-24T08:48:49.239Z</dcterms:modified>
</cp:coreProperties>
</file>

<file path=docProps/custom.xml><?xml version="1.0" encoding="utf-8"?>
<Properties xmlns="http://schemas.openxmlformats.org/officeDocument/2006/custom-properties" xmlns:vt="http://schemas.openxmlformats.org/officeDocument/2006/docPropsVTypes"/>
</file>