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Amazing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Amazing</w:t>
      </w:r>
      <w:r>
        <w:t xml:space="preserve"> </w:t>
      </w:r>
      <w:r>
        <w:t xml:space="preserve">Location</w:t>
      </w:r>
    </w:p>
    <w:p>
      <w:pPr>
        <w:pStyle w:val="Author"/>
      </w:pPr>
      <w:r>
        <w:t xml:space="preserve">Filippo</w:t>
      </w:r>
      <w:r>
        <w:t xml:space="preserve"> </w:t>
      </w:r>
      <w:r>
        <w:t xml:space="preserve">Gambarota</w:t>
      </w:r>
    </w:p>
    <w:p>
      <w:pPr>
        <w:pStyle w:val="Date"/>
      </w:pPr>
      <w:r>
        <w:t xml:space="preserve">2024-07-04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quarto"/>
    <w:p>
      <w:pPr>
        <w:pStyle w:val="Heading1"/>
      </w:pPr>
      <w:r>
        <w:t xml:space="preserve">1. Quarto</w:t>
      </w:r>
    </w:p>
    <w:bookmarkStart w:id="24" w:name="general-markup"/>
    <w:p>
      <w:pPr>
        <w:pStyle w:val="Heading2"/>
      </w:pPr>
      <w:r>
        <w:t xml:space="preserve">1.1 General Markup</w:t>
      </w:r>
    </w:p>
    <w:p>
      <w:pPr>
        <w:pStyle w:val="FirstParagraph"/>
      </w:pPr>
      <w:r>
        <w:t xml:space="preserve">You can write standard markdown code. Using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strike/>
        </w:rPr>
        <w:t xml:space="preserve">underlined</w:t>
      </w:r>
      <w:r>
        <w:t xml:space="preserve"> </w:t>
      </w:r>
      <w:r>
        <w:t xml:space="preserve">text. You can include an external figure and also using cross reference with</w:t>
      </w:r>
      <w:r>
        <w:t xml:space="preserve"> </w:t>
      </w:r>
      <w:r>
        <w:rPr>
          <w:rStyle w:val="VerbatimChar"/>
        </w:rPr>
        <w:t xml:space="preserve">@fig-quarto</w:t>
      </w:r>
      <w:r>
        <w:t xml:space="preserve"> </w:t>
      </w:r>
      <w:r>
        <w:t xml:space="preserve">that produce</w:t>
      </w:r>
      <w:r>
        <w:t xml:space="preserve"> </w:t>
      </w:r>
      <w:hyperlink w:anchor="fig-quarto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quarto"/>
          <w:p>
            <w:pPr>
              <w:pStyle w:val="Compact"/>
              <w:jc w:val="center"/>
            </w:pPr>
            <w:r>
              <w:drawing>
                <wp:inline>
                  <wp:extent cx="5334000" cy="615917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quarto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159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My beautiful caption</w:t>
            </w:r>
          </w:p>
          <w:bookmarkEnd w:id="23"/>
        </w:tc>
      </w:tr>
    </w:tbl>
    <w:bookmarkEnd w:id="24"/>
    <w:bookmarkStart w:id="25" w:name="math"/>
    <w:p>
      <w:pPr>
        <w:pStyle w:val="Heading2"/>
      </w:pPr>
      <w:r>
        <w:t xml:space="preserve">1.2 Math</w:t>
      </w:r>
    </w:p>
    <w:p>
      <w:pPr>
        <w:pStyle w:val="FirstParagraph"/>
      </w:pPr>
      <w:r>
        <w:t xml:space="preserve">You can write math using Latex code:</w:t>
      </w:r>
    </w:p>
    <w:p>
      <w:pPr>
        <w:pStyle w:val="SourceCode"/>
      </w:pPr>
      <w:r>
        <w:rPr>
          <w:rStyle w:val="SpecialStringTok"/>
        </w:rPr>
        <w:t xml:space="preserve">$$</w:t>
      </w:r>
      <w:r>
        <w:br/>
      </w:r>
      <w:r>
        <w:rPr>
          <w:rStyle w:val="SpecialStringTok"/>
        </w:rPr>
        <w:t xml:space="preserve">y =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_0 +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_1 + </w:t>
      </w:r>
      <w:r>
        <w:rPr>
          <w:rStyle w:val="SpecialCharTok"/>
        </w:rPr>
        <w:t xml:space="preserve">\epsilon</w:t>
      </w:r>
      <w:r>
        <w:br/>
      </w:r>
      <w:r>
        <w:rPr>
          <w:rStyle w:val="SpecialStringTok"/>
        </w:rPr>
        <w:t xml:space="preserve">$$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And also inline math using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that produce</w:t>
      </w:r>
      <w:r>
        <w:t xml:space="preserve"> </w:t>
      </w:r>
      <m:oMath>
        <m:r>
          <m:t>α</m:t>
        </m:r>
      </m:oMath>
    </w:p>
    <w:bookmarkEnd w:id="25"/>
    <w:bookmarkStart w:id="26" w:name="sec-citations"/>
    <w:p>
      <w:pPr>
        <w:pStyle w:val="Heading2"/>
      </w:pPr>
      <w:r>
        <w:t xml:space="preserve">1.3 Citations</w:t>
      </w:r>
    </w:p>
    <w:p>
      <w:pPr>
        <w:pStyle w:val="FirstParagraph"/>
      </w:pPr>
      <w:r>
        <w:t xml:space="preserve">You can cite references from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using the syntax</w:t>
      </w:r>
      <w:r>
        <w:t xml:space="preserve"> </w:t>
      </w:r>
      <w:r>
        <w:rPr>
          <w:rStyle w:val="VerbatimChar"/>
        </w:rPr>
        <w:t xml:space="preserve">[@Chen2021-jb]</w:t>
      </w:r>
      <w:r>
        <w:t xml:space="preserve"> </w:t>
      </w:r>
      <w:r>
        <w:t xml:space="preserve">that produce</w:t>
      </w:r>
      <w:r>
        <w:t xml:space="preserve"> </w:t>
      </w:r>
      <w:r>
        <w:t xml:space="preserve">(Chen et al. 2021)</w:t>
      </w:r>
      <w:r>
        <w:t xml:space="preserve">. We can also cite multiple authors</w:t>
      </w:r>
      <w:r>
        <w:t xml:space="preserve"> </w:t>
      </w:r>
      <w:r>
        <w:rPr>
          <w:rStyle w:val="VerbatimChar"/>
        </w:rPr>
        <w:t xml:space="preserve">[@Morey2011-zc; @Lakens2018-ri]</w:t>
      </w:r>
      <w:r>
        <w:t xml:space="preserve"> </w:t>
      </w:r>
      <w:r>
        <w:t xml:space="preserve">(Morey and Rouder 2011; Lakens, Scheel, and Isager 2018)</w:t>
      </w:r>
      <w:r>
        <w:t xml:space="preserve"> </w:t>
      </w:r>
      <w:r>
        <w:t xml:space="preserve">or suppress the author name</w:t>
      </w:r>
      <w:r>
        <w:t xml:space="preserve"> </w:t>
      </w:r>
      <w:r>
        <w:rPr>
          <w:rStyle w:val="VerbatimChar"/>
        </w:rPr>
        <w:t xml:space="preserve">[-@Valentine2011-yq]</w:t>
      </w:r>
      <w:r>
        <w:t xml:space="preserve"> </w:t>
      </w:r>
      <w:r>
        <w:t xml:space="preserve">(2011)</w:t>
      </w:r>
      <w:r>
        <w:t xml:space="preserve">.</w:t>
      </w:r>
    </w:p>
    <w:p>
      <w:pPr>
        <w:pStyle w:val="BodyText"/>
      </w:pPr>
      <w:r>
        <w:t xml:space="preserve">A reference section will be automatically created at the end of the document (see</w:t>
      </w:r>
      <w:r>
        <w:t xml:space="preserve"> </w:t>
      </w:r>
      <w:hyperlink w:anchor="sec-refs">
        <w:r>
          <w:rPr>
            <w:rStyle w:val="Hyperlink"/>
          </w:rPr>
          <w:t xml:space="preserve">Section 1.8</w:t>
        </w:r>
      </w:hyperlink>
      <w:r>
        <w:t xml:space="preserve">).</w:t>
      </w:r>
    </w:p>
    <w:p>
      <w:pPr>
        <w:pStyle w:val="BodyText"/>
      </w:pPr>
      <w:r>
        <w:t xml:space="preserve">This is the result: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  Sepal.Length    Sepal.Width     Petal.Length    Petal.Width   </w:t>
      </w:r>
      <w:r>
        <w:br/>
      </w:r>
      <w:r>
        <w:rPr>
          <w:rStyle w:val="VerbatimChar"/>
        </w:rPr>
        <w:t xml:space="preserve"> Min.   :4.300   Min.   :2.000   Min.   :1.000   Min.   :0.100  </w:t>
      </w:r>
      <w:r>
        <w:br/>
      </w:r>
      <w:r>
        <w:rPr>
          <w:rStyle w:val="VerbatimChar"/>
        </w:rPr>
        <w:t xml:space="preserve"> 1st Qu.:5.100   1st Qu.:2.800   1st Qu.:1.600   1st Qu.:0.300  </w:t>
      </w:r>
      <w:r>
        <w:br/>
      </w:r>
      <w:r>
        <w:rPr>
          <w:rStyle w:val="VerbatimChar"/>
        </w:rPr>
        <w:t xml:space="preserve"> Median :5.800   Median :3.000   Median :4.350   Median :1.300  </w:t>
      </w:r>
      <w:r>
        <w:br/>
      </w:r>
      <w:r>
        <w:rPr>
          <w:rStyle w:val="VerbatimChar"/>
        </w:rPr>
        <w:t xml:space="preserve"> Mean   :5.843   Mean   :3.057   Mean   :3.758   Mean   :1.199  </w:t>
      </w:r>
      <w:r>
        <w:br/>
      </w:r>
      <w:r>
        <w:rPr>
          <w:rStyle w:val="VerbatimChar"/>
        </w:rPr>
        <w:t xml:space="preserve"> 3rd Qu.:6.400   3rd Qu.:3.300   3rd Qu.:5.100   3rd Qu.:1.800  </w:t>
      </w:r>
      <w:r>
        <w:br/>
      </w:r>
      <w:r>
        <w:rPr>
          <w:rStyle w:val="VerbatimChar"/>
        </w:rPr>
        <w:t xml:space="preserve"> Max.   :7.900   Max.   :4.400   Max.   :6.900   Max.   :2.500  </w:t>
      </w:r>
      <w:r>
        <w:br/>
      </w:r>
      <w:r>
        <w:rPr>
          <w:rStyle w:val="VerbatimChar"/>
        </w:rPr>
        <w:t xml:space="preserve">       Species  </w:t>
      </w:r>
      <w:r>
        <w:br/>
      </w:r>
      <w:r>
        <w:rPr>
          <w:rStyle w:val="VerbatimChar"/>
        </w:rPr>
        <w:t xml:space="preserve"> setosa    :50  </w:t>
      </w:r>
      <w:r>
        <w:br/>
      </w:r>
      <w:r>
        <w:rPr>
          <w:rStyle w:val="VerbatimChar"/>
        </w:rPr>
        <w:t xml:space="preserve"> versicolor:50  </w:t>
      </w:r>
      <w:r>
        <w:br/>
      </w:r>
      <w:r>
        <w:rPr>
          <w:rStyle w:val="VerbatimChar"/>
        </w:rPr>
        <w:t xml:space="preserve"> virginica :50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</w:t>
      </w:r>
    </w:p>
    <w:bookmarkEnd w:id="26"/>
    <w:bookmarkStart w:id="33" w:name="code-chunks---plots"/>
    <w:p>
      <w:pPr>
        <w:pStyle w:val="Heading2"/>
      </w:pPr>
      <w:r>
        <w:t xml:space="preserve">1.4 Code chunks -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code-chunks---tables"/>
    <w:p>
      <w:pPr>
        <w:pStyle w:val="Heading2"/>
      </w:pPr>
      <w:r>
        <w:t xml:space="preserve">1.5 Code chunks - Tables</w:t>
      </w:r>
    </w:p>
    <w:p>
      <w:pPr>
        <w:pStyle w:val="FirstParagraph"/>
      </w:pPr>
      <w:r>
        <w:t xml:space="preserve">You can also create already formatted tables with the statistics. Let’s fit a simple linear model: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(Petal.Width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Sepal.Length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Petal.Width ~ Sepal.Length * Species,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-0.56675 -0.10596 -0.02419  0.09624  0.50897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Estimate Std. Error t value Pr(&gt;|t|)   </w:t>
      </w:r>
      <w:r>
        <w:br/>
      </w:r>
      <w:r>
        <w:rPr>
          <w:rStyle w:val="VerbatimChar"/>
        </w:rPr>
        <w:t xml:space="preserve">(Intercept)                    -0.17022    0.38833  -0.438  0.66180   </w:t>
      </w:r>
      <w:r>
        <w:br/>
      </w:r>
      <w:r>
        <w:rPr>
          <w:rStyle w:val="VerbatimChar"/>
        </w:rPr>
        <w:t xml:space="preserve">Sepal.Length                    0.08314    0.07739   1.074  0.28444   </w:t>
      </w:r>
      <w:r>
        <w:br/>
      </w:r>
      <w:r>
        <w:rPr>
          <w:rStyle w:val="VerbatimChar"/>
        </w:rPr>
        <w:t xml:space="preserve">Speciesversicolor               0.25348    0.49994   0.507  0.61292   </w:t>
      </w:r>
      <w:r>
        <w:br/>
      </w:r>
      <w:r>
        <w:rPr>
          <w:rStyle w:val="VerbatimChar"/>
        </w:rPr>
        <w:t xml:space="preserve">Speciesvirginica                1.39633    0.48104   2.903  0.00428 **</w:t>
      </w:r>
      <w:r>
        <w:br/>
      </w:r>
      <w:r>
        <w:rPr>
          <w:rStyle w:val="VerbatimChar"/>
        </w:rPr>
        <w:t xml:space="preserve">Sepal.Length:Speciesversicolor  0.12621    0.09371   1.347  0.18014   </w:t>
      </w:r>
      <w:r>
        <w:br/>
      </w:r>
      <w:r>
        <w:rPr>
          <w:rStyle w:val="VerbatimChar"/>
        </w:rPr>
        <w:t xml:space="preserve">Sepal.Length:Speciesvirginica   0.03827    0.08848   0.433  0.66599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0.1909 on 144 degrees of freedom</w:t>
      </w:r>
      <w:r>
        <w:br/>
      </w:r>
      <w:r>
        <w:rPr>
          <w:rStyle w:val="VerbatimChar"/>
        </w:rPr>
        <w:t xml:space="preserve">Multiple R-squared:  0.9394,    Adjusted R-squared:  0.9372 </w:t>
      </w:r>
      <w:r>
        <w:br/>
      </w:r>
      <w:r>
        <w:rPr>
          <w:rStyle w:val="VerbatimChar"/>
        </w:rPr>
        <w:t xml:space="preserve">F-statistic: 446.1 on 5 and 144 DF,  p-value: &lt; 2.2e-16</w:t>
      </w:r>
    </w:p>
    <w:bookmarkEnd w:id="34"/>
    <w:bookmarkStart w:id="35" w:name="code-chunks---tables-1"/>
    <w:p>
      <w:pPr>
        <w:pStyle w:val="Heading2"/>
      </w:pPr>
      <w:r>
        <w:t xml:space="preserve">1.6 Code chunks - Tables</w:t>
      </w:r>
    </w:p>
    <w:p>
      <w:pPr>
        <w:pStyle w:val="FirstParagraph"/>
      </w:pPr>
      <w:r>
        <w:t xml:space="preserve">Let’s produce the table with the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theme_booktabs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48"/>
        <w:gridCol w:w="1820"/>
        <w:gridCol w:w="1740"/>
        <w:gridCol w:w="1680"/>
        <w:gridCol w:w="1880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-0.17022108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0.38833483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-0.4383359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0.661799706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0.07738610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1.0744106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0.284435724</w:t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Speciesversicolor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0.25347680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0.49993857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0.612919207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1.39632946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0.48104236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2.9027162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0.004281915</w:t>
            </w:r>
          </w:p>
        </w:tc>
      </w:tr>
      <w:tr>
        <w:trPr>
          <w:trHeight w:val="62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Sepal.Length:Speciesversicolor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0.09370888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0.180141151</w:t>
            </w:r>
          </w:p>
        </w:tc>
      </w:tr>
      <w:tr>
        <w:trPr>
          <w:trHeight w:val="62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Sepal.Length:Speciesvirginica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0.03827201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0.08848065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0.4325467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0.665991191</w:t>
            </w:r>
          </w:p>
        </w:tc>
      </w:tr>
    </w:tbl>
    <w:bookmarkEnd w:id="35"/>
    <w:bookmarkStart w:id="36" w:name="inline-code-chunks"/>
    <w:p>
      <w:pPr>
        <w:pStyle w:val="Heading2"/>
      </w:pPr>
      <w:r>
        <w:t xml:space="preserve">1.7 Inline code chunks</w:t>
      </w:r>
    </w:p>
    <w:p>
      <w:pPr>
        <w:pStyle w:val="FirstParagraph"/>
      </w:pPr>
      <w:r>
        <w:t xml:space="preserve">If you want to use R code within the text to report statistics you can use the syntax</w:t>
      </w:r>
      <w:r>
        <w:t xml:space="preserve"> </w:t>
      </w:r>
      <w:r>
        <w:rPr>
          <w:rStyle w:val="VerbatimChar"/>
        </w:rPr>
        <w:t xml:space="preserve">`r r code`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Compact"/>
        <w:numPr>
          <w:ilvl w:val="0"/>
          <w:numId w:val="1001"/>
        </w:numPr>
      </w:pPr>
      <w:r>
        <w:t xml:space="preserve">the average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Setosa</w:t>
      </w:r>
      <w:r>
        <w:t xml:space="preserve"> </w:t>
      </w:r>
      <w:r>
        <w:t xml:space="preserve">group is</w:t>
      </w:r>
      <w:r>
        <w:t xml:space="preserve"> </w:t>
      </w:r>
      <w:r>
        <w:rPr>
          <w:rStyle w:val="VerbatimChar"/>
        </w:rPr>
        <w:t xml:space="preserve">`r mean(iris$Sepal.Length[iris$Species == 'setosa'])`</w:t>
      </w:r>
    </w:p>
    <w:p>
      <w:pPr>
        <w:pStyle w:val="FirstParagraph"/>
      </w:pPr>
      <w:r>
        <w:t xml:space="preserve">Become</w:t>
      </w:r>
    </w:p>
    <w:p>
      <w:pPr>
        <w:pStyle w:val="Compact"/>
        <w:numPr>
          <w:ilvl w:val="0"/>
          <w:numId w:val="1002"/>
        </w:numPr>
      </w:pPr>
      <w:r>
        <w:t xml:space="preserve">the average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Setosa</w:t>
      </w:r>
      <w:r>
        <w:t xml:space="preserve"> </w:t>
      </w:r>
      <w:r>
        <w:t xml:space="preserve">group is 5.006</w:t>
      </w:r>
    </w:p>
    <w:bookmarkEnd w:id="36"/>
    <w:bookmarkStart w:id="46" w:name="sec-refs"/>
    <w:p>
      <w:pPr>
        <w:pStyle w:val="Heading2"/>
      </w:pPr>
      <w:r>
        <w:t xml:space="preserve">1.8 References</w:t>
      </w:r>
    </w:p>
    <w:p>
      <w:pPr>
        <w:pStyle w:val="FirstParagraph"/>
      </w:pPr>
      <w:r>
        <w:t xml:space="preserve">Go back to</w:t>
      </w:r>
      <w:r>
        <w:t xml:space="preserve"> </w:t>
      </w:r>
      <w:hyperlink w:anchor="sec-citations">
        <w:r>
          <w:rPr>
            <w:rStyle w:val="Hyperlink"/>
          </w:rPr>
          <w:t xml:space="preserve">Section 1.3</w:t>
        </w:r>
      </w:hyperlink>
    </w:p>
    <w:bookmarkStart w:id="45" w:name="refs"/>
    <w:bookmarkStart w:id="38" w:name="ref-Chen2021-jb"/>
    <w:p>
      <w:pPr>
        <w:pStyle w:val="Bibliography"/>
      </w:pPr>
      <w:r>
        <w:t xml:space="preserve">Chen, Gang, Daniel S Pine, Melissa A Brotman, Ashley R Smith, Robert W Cox, and Simone P Haller. 2021.</w:t>
      </w:r>
      <w:r>
        <w:t xml:space="preserve"> </w:t>
      </w:r>
      <w:r>
        <w:t xml:space="preserve">“Trial and Error: A Hierarchical Modeling Approach to Test-Retest Reliability.”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t xml:space="preserve">245 (December): 118647.</w:t>
      </w:r>
      <w:r>
        <w:t xml:space="preserve"> </w:t>
      </w:r>
      <w:hyperlink r:id="rId37">
        <w:r>
          <w:rPr>
            <w:rStyle w:val="Hyperlink"/>
          </w:rPr>
          <w:t xml:space="preserve">https://doi.org/10.1016/j.neuroimage.2021.118647</w:t>
        </w:r>
      </w:hyperlink>
      <w:r>
        <w:t xml:space="preserve">.</w:t>
      </w:r>
    </w:p>
    <w:bookmarkEnd w:id="38"/>
    <w:bookmarkStart w:id="40" w:name="ref-Lakens2018-ri"/>
    <w:p>
      <w:pPr>
        <w:pStyle w:val="Bibliography"/>
      </w:pPr>
      <w:r>
        <w:t xml:space="preserve">Lakens, Daniël, Anne M Scheel, and Peder M Isager. 2018.</w:t>
      </w:r>
      <w:r>
        <w:t xml:space="preserve"> </w:t>
      </w:r>
      <w:r>
        <w:t xml:space="preserve">“Equivalence Testing for Psychological Research: A Tutorial.”</w:t>
      </w:r>
      <w:r>
        <w:t xml:space="preserve"> </w:t>
      </w:r>
      <w:r>
        <w:rPr>
          <w:i/>
          <w:iCs/>
        </w:rPr>
        <w:t xml:space="preserve">Adv. Methods Pract. Psychol. Sci.</w:t>
      </w:r>
      <w:r>
        <w:t xml:space="preserve"> </w:t>
      </w:r>
      <w:r>
        <w:t xml:space="preserve">1 (2): 259–69.</w:t>
      </w:r>
      <w:r>
        <w:t xml:space="preserve"> </w:t>
      </w:r>
      <w:hyperlink r:id="rId39">
        <w:r>
          <w:rPr>
            <w:rStyle w:val="Hyperlink"/>
          </w:rPr>
          <w:t xml:space="preserve">https://doi.org/10.1177/2515245918770963</w:t>
        </w:r>
      </w:hyperlink>
      <w:r>
        <w:t xml:space="preserve">.</w:t>
      </w:r>
    </w:p>
    <w:bookmarkEnd w:id="40"/>
    <w:bookmarkStart w:id="42" w:name="ref-Morey2011-zc"/>
    <w:p>
      <w:pPr>
        <w:pStyle w:val="Bibliography"/>
      </w:pPr>
      <w:r>
        <w:t xml:space="preserve">Morey, Richard D, and Jeffrey N Rouder. 2011.</w:t>
      </w:r>
      <w:r>
        <w:t xml:space="preserve"> </w:t>
      </w:r>
      <w:r>
        <w:t xml:space="preserve">“Bayes Factor Approaches for Testing Interval Null Hypotheses.”</w:t>
      </w:r>
      <w:r>
        <w:t xml:space="preserve"> </w:t>
      </w:r>
      <w:r>
        <w:rPr>
          <w:i/>
          <w:iCs/>
        </w:rPr>
        <w:t xml:space="preserve">Psychol. Methods</w:t>
      </w:r>
      <w:r>
        <w:t xml:space="preserve"> </w:t>
      </w:r>
      <w:r>
        <w:t xml:space="preserve">16 (4): 406–19.</w:t>
      </w:r>
      <w:r>
        <w:t xml:space="preserve"> </w:t>
      </w:r>
      <w:hyperlink r:id="rId41">
        <w:r>
          <w:rPr>
            <w:rStyle w:val="Hyperlink"/>
          </w:rPr>
          <w:t xml:space="preserve">https://doi.org/10.1037/a0024377</w:t>
        </w:r>
      </w:hyperlink>
      <w:r>
        <w:t xml:space="preserve">.</w:t>
      </w:r>
    </w:p>
    <w:bookmarkEnd w:id="42"/>
    <w:bookmarkStart w:id="44" w:name="ref-Valentine2011-yq"/>
    <w:p>
      <w:pPr>
        <w:pStyle w:val="Bibliography"/>
      </w:pPr>
      <w:r>
        <w:t xml:space="preserve">Valentine, Jeffrey C, Anthony Biglan, Robert F Boruch, Felipe González Castro, Linda M Collins, Brian R Flay, Sheppard Kellam, Eve K Mościcki, and Steven P Schinke. 2011.</w:t>
      </w:r>
      <w:r>
        <w:t xml:space="preserve"> </w:t>
      </w:r>
      <w:r>
        <w:t xml:space="preserve">“Replication in Prevention Science.”</w:t>
      </w:r>
      <w:r>
        <w:t xml:space="preserve"> </w:t>
      </w:r>
      <w:r>
        <w:rPr>
          <w:i/>
          <w:iCs/>
        </w:rPr>
        <w:t xml:space="preserve">Prev. Sci.</w:t>
      </w:r>
      <w:r>
        <w:t xml:space="preserve"> </w:t>
      </w:r>
      <w:r>
        <w:t xml:space="preserve">12 (2): 103–17.</w:t>
      </w:r>
      <w:r>
        <w:t xml:space="preserve"> </w:t>
      </w:r>
      <w:hyperlink r:id="rId43">
        <w:r>
          <w:rPr>
            <w:rStyle w:val="Hyperlink"/>
          </w:rPr>
          <w:t xml:space="preserve">https://doi.org/10.1007/s11121-011-0217-6</w:t>
        </w:r>
      </w:hyperlink>
      <w:r>
        <w:t xml:space="preserve">.</w: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43" Target="https://doi.org/10.1007/s11121-011-0217-6" TargetMode="External" /><Relationship Type="http://schemas.openxmlformats.org/officeDocument/2006/relationships/hyperlink" Id="rId37" Target="https://doi.org/10.1016/j.neuroimage.2021.118647" TargetMode="External" /><Relationship Type="http://schemas.openxmlformats.org/officeDocument/2006/relationships/hyperlink" Id="rId41" Target="https://doi.org/10.1037/a0024377" TargetMode="External" /><Relationship Type="http://schemas.openxmlformats.org/officeDocument/2006/relationships/hyperlink" Id="rId39" Target="https://doi.org/10.1177/25152459187709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007/s11121-011-0217-6" TargetMode="External" /><Relationship Type="http://schemas.openxmlformats.org/officeDocument/2006/relationships/hyperlink" Id="rId37" Target="https://doi.org/10.1016/j.neuroimage.2021.118647" TargetMode="External" /><Relationship Type="http://schemas.openxmlformats.org/officeDocument/2006/relationships/hyperlink" Id="rId41" Target="https://doi.org/10.1037/a0024377" TargetMode="External" /><Relationship Type="http://schemas.openxmlformats.org/officeDocument/2006/relationships/hyperlink" Id="rId39" Target="https://doi.org/10.1177/25152459187709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Amazing Document</dc:title>
  <dc:creator>Filippo Gambarota</dc:creator>
  <cp:keywords/>
  <dcterms:created xsi:type="dcterms:W3CDTF">2024-07-04T12:54:28Z</dcterms:created>
  <dcterms:modified xsi:type="dcterms:W3CDTF">2024-07-04T12:54:28Z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ref.bib</vt:lpwstr>
  </property>
  <property fmtid="{D5CDD505-2E9C-101B-9397-08002B2CF9AE}" pid="5" name="by-author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Amazing Location</vt:lpwstr>
  </property>
  <property fmtid="{D5CDD505-2E9C-101B-9397-08002B2CF9AE}" pid="12" name="toc-title">
    <vt:lpwstr>Table of contents</vt:lpwstr>
  </property>
</Properties>
</file>